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3B008" w14:textId="51EA5DBB" w:rsidR="00B25B6C" w:rsidRPr="0056306A" w:rsidRDefault="003916BC" w:rsidP="00903EB8">
      <w:bookmarkStart w:id="0" w:name="_Hlk135557906"/>
      <w:bookmarkEnd w:id="0"/>
      <w:r w:rsidRPr="003916BC">
        <w:rPr>
          <w:noProof/>
        </w:rPr>
        <w:drawing>
          <wp:anchor distT="0" distB="0" distL="114300" distR="114300" simplePos="0" relativeHeight="251658240" behindDoc="0" locked="0" layoutInCell="1" allowOverlap="1" wp14:anchorId="2A35A721" wp14:editId="77969EE9">
            <wp:simplePos x="0" y="0"/>
            <wp:positionH relativeFrom="column">
              <wp:posOffset>4327525</wp:posOffset>
            </wp:positionH>
            <wp:positionV relativeFrom="paragraph">
              <wp:posOffset>-157480</wp:posOffset>
            </wp:positionV>
            <wp:extent cx="1752600" cy="1066800"/>
            <wp:effectExtent l="0" t="0" r="0" b="0"/>
            <wp:wrapNone/>
            <wp:docPr id="1353246491" name="Picture 1353246491" descr="A red text on a white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246491" name="Picture 1" descr="A red text on a white background&#10;&#10;Description automatically generated with low confidence"/>
                    <pic:cNvPicPr/>
                  </pic:nvPicPr>
                  <pic:blipFill rotWithShape="1">
                    <a:blip r:embed="rId11"/>
                    <a:srcRect l="18520" t="20490" r="16824" b="27071"/>
                    <a:stretch/>
                  </pic:blipFill>
                  <pic:spPr bwMode="auto">
                    <a:xfrm>
                      <a:off x="0" y="0"/>
                      <a:ext cx="1752600" cy="1066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25B6C" w:rsidRPr="0056306A">
        <w:rPr>
          <w:noProof/>
          <w:lang w:eastAsia="en-GB"/>
        </w:rPr>
        <w:drawing>
          <wp:inline distT="0" distB="0" distL="0" distR="0" wp14:anchorId="30F67E30" wp14:editId="61004A95">
            <wp:extent cx="2864752" cy="752475"/>
            <wp:effectExtent l="0" t="0" r="0" b="0"/>
            <wp:docPr id="873330932" name="Picture 873330932" descr="Z:\User\University job\Logo\Imperial__4_colour_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5"/>
                    <pic:cNvPicPr/>
                  </pic:nvPicPr>
                  <pic:blipFill>
                    <a:blip r:embed="rId12">
                      <a:extLst>
                        <a:ext uri="{28A0092B-C50C-407E-A947-70E740481C1C}">
                          <a14:useLocalDpi xmlns:a14="http://schemas.microsoft.com/office/drawing/2010/main" val="0"/>
                        </a:ext>
                      </a:extLst>
                    </a:blip>
                    <a:stretch>
                      <a:fillRect/>
                    </a:stretch>
                  </pic:blipFill>
                  <pic:spPr>
                    <a:xfrm>
                      <a:off x="0" y="0"/>
                      <a:ext cx="2864752" cy="752475"/>
                    </a:xfrm>
                    <a:prstGeom prst="rect">
                      <a:avLst/>
                    </a:prstGeom>
                  </pic:spPr>
                </pic:pic>
              </a:graphicData>
            </a:graphic>
          </wp:inline>
        </w:drawing>
      </w:r>
    </w:p>
    <w:p w14:paraId="655B24B9" w14:textId="4F00DC3D" w:rsidR="00B25B6C" w:rsidRPr="0056306A" w:rsidRDefault="00B25B6C" w:rsidP="00903EB8"/>
    <w:p w14:paraId="749CAE63" w14:textId="73257652" w:rsidR="00B25B6C" w:rsidRPr="0056306A" w:rsidRDefault="00B25B6C" w:rsidP="00903EB8"/>
    <w:p w14:paraId="39DAFC5C" w14:textId="0EBA770C" w:rsidR="00B25B6C" w:rsidRPr="0056306A" w:rsidRDefault="00B25B6C" w:rsidP="00903EB8"/>
    <w:p w14:paraId="670D73D8" w14:textId="77777777" w:rsidR="005051D8" w:rsidRDefault="005051D8" w:rsidP="005051D8">
      <w:pPr>
        <w:pStyle w:val="Title"/>
        <w:pBdr>
          <w:bottom w:val="none" w:sz="0" w:space="0" w:color="auto"/>
        </w:pBdr>
      </w:pPr>
      <w:r>
        <w:t>Coordinated Operational Methodology for Managing and Accessing Network Distributed Energy Resources (COMMANDER)</w:t>
      </w:r>
    </w:p>
    <w:p w14:paraId="403D1672" w14:textId="77777777" w:rsidR="005051D8" w:rsidRPr="005051D8" w:rsidRDefault="005051D8" w:rsidP="005051D8"/>
    <w:p w14:paraId="6EFA4708" w14:textId="616ED01E" w:rsidR="00B25B6C" w:rsidRPr="005051D8" w:rsidRDefault="005051D8" w:rsidP="00903EB8">
      <w:pPr>
        <w:pStyle w:val="Title"/>
        <w:rPr>
          <w:sz w:val="40"/>
          <w:szCs w:val="40"/>
        </w:rPr>
      </w:pPr>
      <w:r w:rsidRPr="005051D8">
        <w:rPr>
          <w:sz w:val="40"/>
          <w:szCs w:val="40"/>
        </w:rPr>
        <w:t xml:space="preserve">Workstream 2 Report - </w:t>
      </w:r>
      <w:r w:rsidR="003916BC" w:rsidRPr="005051D8">
        <w:rPr>
          <w:sz w:val="40"/>
          <w:szCs w:val="40"/>
        </w:rPr>
        <w:t>Techno-Economic Assessment of Alternative ESO-DSO Coordination Schemes</w:t>
      </w:r>
    </w:p>
    <w:p w14:paraId="674FBBE5" w14:textId="5A583188" w:rsidR="00AA4AC0" w:rsidRPr="0056306A" w:rsidRDefault="00F16D9C" w:rsidP="00903EB8">
      <w:pPr>
        <w:rPr>
          <w:rStyle w:val="IntenseReference"/>
        </w:rPr>
      </w:pPr>
      <w:r w:rsidRPr="0056306A">
        <w:rPr>
          <w:rStyle w:val="IntenseReference"/>
        </w:rPr>
        <w:t xml:space="preserve">A report for </w:t>
      </w:r>
      <w:r w:rsidR="003916BC">
        <w:rPr>
          <w:rStyle w:val="IntenseReference"/>
        </w:rPr>
        <w:t>National Grid ESO</w:t>
      </w:r>
      <w:r w:rsidR="00A827F7">
        <w:rPr>
          <w:rStyle w:val="IntenseReference"/>
        </w:rPr>
        <w:t xml:space="preserve"> and National Grid Electricity Distribution</w:t>
      </w:r>
    </w:p>
    <w:p w14:paraId="57454E0E" w14:textId="6E1F6B5E" w:rsidR="00BB417E" w:rsidRPr="0056306A" w:rsidRDefault="00BB417E" w:rsidP="00903EB8"/>
    <w:p w14:paraId="18D04A34" w14:textId="77777777" w:rsidR="00BB417E" w:rsidRPr="0056306A" w:rsidRDefault="00BB417E" w:rsidP="00903EB8"/>
    <w:p w14:paraId="0AD2A68C" w14:textId="393AF0DE" w:rsidR="003916BC" w:rsidRPr="00851F99" w:rsidRDefault="000B6A76" w:rsidP="00903EB8">
      <w:pPr>
        <w:rPr>
          <w:lang w:val="pt-BR"/>
        </w:rPr>
      </w:pPr>
      <w:r w:rsidRPr="00851F99">
        <w:rPr>
          <w:lang w:val="pt-BR"/>
        </w:rPr>
        <w:t>D. Pudjianto</w:t>
      </w:r>
      <w:r w:rsidR="00B43708" w:rsidRPr="00851F99">
        <w:rPr>
          <w:lang w:val="pt-BR"/>
        </w:rPr>
        <w:t>, G. Strbac</w:t>
      </w:r>
      <w:r w:rsidR="003916BC" w:rsidRPr="00851F99">
        <w:rPr>
          <w:lang w:val="pt-BR"/>
        </w:rPr>
        <w:t>, Nuno Fernandes Pedro, M</w:t>
      </w:r>
      <w:r w:rsidR="4669A2A9" w:rsidRPr="00851F99">
        <w:rPr>
          <w:lang w:val="pt-BR"/>
        </w:rPr>
        <w:t>a</w:t>
      </w:r>
      <w:r w:rsidR="003916BC" w:rsidRPr="00851F99">
        <w:rPr>
          <w:lang w:val="pt-BR"/>
        </w:rPr>
        <w:t>rouf Pirouti, Matt Yates</w:t>
      </w:r>
    </w:p>
    <w:p w14:paraId="6000B130" w14:textId="77777777" w:rsidR="003916BC" w:rsidRPr="00851F99" w:rsidRDefault="003916BC" w:rsidP="00903EB8">
      <w:pPr>
        <w:rPr>
          <w:lang w:val="pt-BR"/>
        </w:rPr>
      </w:pPr>
    </w:p>
    <w:p w14:paraId="27233653" w14:textId="396756F6" w:rsidR="00894292" w:rsidRPr="0056306A" w:rsidRDefault="003916BC" w:rsidP="00903EB8">
      <w:r>
        <w:t>May</w:t>
      </w:r>
      <w:r w:rsidR="001B38A6" w:rsidRPr="0056306A">
        <w:t xml:space="preserve"> </w:t>
      </w:r>
      <w:r w:rsidR="00CA6E8A" w:rsidRPr="0056306A">
        <w:t>20</w:t>
      </w:r>
      <w:bookmarkStart w:id="1" w:name="_Toc514227256"/>
      <w:r w:rsidR="00A2616E" w:rsidRPr="0056306A">
        <w:t>2</w:t>
      </w:r>
      <w:r>
        <w:t>3</w:t>
      </w:r>
    </w:p>
    <w:p w14:paraId="4A8699EE" w14:textId="77777777" w:rsidR="004515D1" w:rsidRPr="0056306A" w:rsidRDefault="004515D1" w:rsidP="00903EB8">
      <w:pPr>
        <w:rPr>
          <w:rFonts w:asciiTheme="majorHAnsi" w:eastAsiaTheme="majorEastAsia" w:hAnsiTheme="majorHAnsi" w:cstheme="majorBidi"/>
          <w:color w:val="365F91" w:themeColor="accent1" w:themeShade="BF"/>
          <w:sz w:val="52"/>
          <w:szCs w:val="52"/>
        </w:rPr>
      </w:pPr>
      <w:r w:rsidRPr="0056306A">
        <w:br w:type="page"/>
      </w:r>
    </w:p>
    <w:p w14:paraId="13B4714A" w14:textId="77777777" w:rsidR="00E16DEB" w:rsidRPr="0056306A" w:rsidRDefault="00E16DEB" w:rsidP="00903EB8">
      <w:pPr>
        <w:rPr>
          <w:rFonts w:ascii="Times New Roman" w:hAnsi="Times New Roman"/>
          <w:b/>
          <w:bCs/>
          <w:lang w:eastAsia="zh-CN"/>
        </w:rPr>
      </w:pPr>
      <w:r w:rsidRPr="19E3354A">
        <w:rPr>
          <w:b/>
          <w:bCs/>
          <w:lang w:eastAsia="zh-CN"/>
        </w:rPr>
        <w:lastRenderedPageBreak/>
        <w:t xml:space="preserve">Acknowledgements </w:t>
      </w:r>
    </w:p>
    <w:p w14:paraId="0C83D4EE" w14:textId="007C0705" w:rsidR="00DB540B" w:rsidRDefault="00DB540B" w:rsidP="00DB540B">
      <w:pPr>
        <w:rPr>
          <w:lang w:eastAsia="zh-CN"/>
        </w:rPr>
      </w:pPr>
      <w:r w:rsidRPr="19E3354A">
        <w:rPr>
          <w:lang w:eastAsia="zh-CN"/>
        </w:rPr>
        <w:t xml:space="preserve">The authors are grateful for precious inputs and </w:t>
      </w:r>
      <w:r w:rsidR="003916BC" w:rsidRPr="19E3354A">
        <w:rPr>
          <w:lang w:eastAsia="zh-CN"/>
        </w:rPr>
        <w:t>support</w:t>
      </w:r>
      <w:r w:rsidRPr="19E3354A">
        <w:rPr>
          <w:lang w:eastAsia="zh-CN"/>
        </w:rPr>
        <w:t xml:space="preserve"> from </w:t>
      </w:r>
      <w:r w:rsidR="003916BC" w:rsidRPr="19E3354A">
        <w:rPr>
          <w:lang w:eastAsia="zh-CN"/>
        </w:rPr>
        <w:t>Stuart Fowler</w:t>
      </w:r>
      <w:r w:rsidR="004856A8" w:rsidRPr="19E3354A">
        <w:rPr>
          <w:lang w:eastAsia="zh-CN"/>
        </w:rPr>
        <w:t xml:space="preserve"> </w:t>
      </w:r>
      <w:r w:rsidR="00061A5D">
        <w:rPr>
          <w:lang w:eastAsia="zh-CN"/>
        </w:rPr>
        <w:t>(</w:t>
      </w:r>
      <w:r w:rsidR="003916BC" w:rsidRPr="19E3354A">
        <w:rPr>
          <w:lang w:eastAsia="zh-CN"/>
        </w:rPr>
        <w:t>National Grid ESO</w:t>
      </w:r>
      <w:r w:rsidR="00061A5D">
        <w:rPr>
          <w:lang w:eastAsia="zh-CN"/>
        </w:rPr>
        <w:t>),</w:t>
      </w:r>
      <w:r w:rsidRPr="19E3354A">
        <w:rPr>
          <w:lang w:eastAsia="zh-CN"/>
        </w:rPr>
        <w:t xml:space="preserve"> </w:t>
      </w:r>
      <w:r w:rsidR="003916BC" w:rsidRPr="19E3354A">
        <w:rPr>
          <w:lang w:eastAsia="zh-CN"/>
        </w:rPr>
        <w:t>Fiona Fulton</w:t>
      </w:r>
      <w:r w:rsidRPr="19E3354A">
        <w:rPr>
          <w:lang w:eastAsia="zh-CN"/>
        </w:rPr>
        <w:t xml:space="preserve"> and </w:t>
      </w:r>
      <w:r w:rsidR="003916BC" w:rsidRPr="19E3354A">
        <w:rPr>
          <w:lang w:eastAsia="zh-CN"/>
        </w:rPr>
        <w:t>Matt Watson</w:t>
      </w:r>
      <w:r w:rsidRPr="19E3354A">
        <w:rPr>
          <w:lang w:eastAsia="zh-CN"/>
        </w:rPr>
        <w:t xml:space="preserve"> </w:t>
      </w:r>
      <w:r w:rsidR="00061A5D">
        <w:rPr>
          <w:lang w:eastAsia="zh-CN"/>
        </w:rPr>
        <w:t>(</w:t>
      </w:r>
      <w:r w:rsidR="003916BC" w:rsidRPr="19E3354A">
        <w:rPr>
          <w:lang w:eastAsia="zh-CN"/>
        </w:rPr>
        <w:t>National Grid</w:t>
      </w:r>
      <w:r w:rsidR="00265747">
        <w:rPr>
          <w:lang w:eastAsia="zh-CN"/>
        </w:rPr>
        <w:t xml:space="preserve"> Electricity Distribution</w:t>
      </w:r>
      <w:r w:rsidR="00061A5D">
        <w:rPr>
          <w:lang w:eastAsia="zh-CN"/>
        </w:rPr>
        <w:t>).</w:t>
      </w:r>
    </w:p>
    <w:p w14:paraId="4B056216" w14:textId="77777777" w:rsidR="00B212E1" w:rsidRDefault="00B212E1" w:rsidP="00DB540B">
      <w:pPr>
        <w:rPr>
          <w:lang w:eastAsia="zh-CN"/>
        </w:rPr>
      </w:pPr>
    </w:p>
    <w:p w14:paraId="575ADAAD" w14:textId="77777777" w:rsidR="00B212E1" w:rsidRDefault="00B212E1" w:rsidP="00DB540B">
      <w:pPr>
        <w:rPr>
          <w:lang w:eastAsia="zh-CN"/>
        </w:rPr>
      </w:pPr>
    </w:p>
    <w:tbl>
      <w:tblPr>
        <w:tblStyle w:val="GridTable2-Accent3"/>
        <w:tblW w:w="0" w:type="auto"/>
        <w:jc w:val="center"/>
        <w:tblLook w:val="04A0" w:firstRow="1" w:lastRow="0" w:firstColumn="1" w:lastColumn="0" w:noHBand="0" w:noVBand="1"/>
      </w:tblPr>
      <w:tblGrid>
        <w:gridCol w:w="2405"/>
        <w:gridCol w:w="2835"/>
      </w:tblGrid>
      <w:tr w:rsidR="004C18F3" w:rsidRPr="00265598" w14:paraId="19756131" w14:textId="77777777" w:rsidTr="00FA46C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09A43E62" w14:textId="77777777" w:rsidR="004C18F3" w:rsidRPr="000B616B" w:rsidRDefault="004C18F3" w:rsidP="001231C5">
            <w:pPr>
              <w:pStyle w:val="BodyText"/>
              <w:rPr>
                <w:color w:val="1F497D" w:themeColor="text2"/>
              </w:rPr>
            </w:pPr>
            <w:r w:rsidRPr="002196FC">
              <w:t>Issue/</w:t>
            </w:r>
            <w:proofErr w:type="spellStart"/>
            <w:r w:rsidRPr="002196FC">
              <w:t>revision</w:t>
            </w:r>
            <w:proofErr w:type="spellEnd"/>
          </w:p>
        </w:tc>
        <w:tc>
          <w:tcPr>
            <w:tcW w:w="2835" w:type="dxa"/>
          </w:tcPr>
          <w:p w14:paraId="7CF9E28E" w14:textId="77777777" w:rsidR="004C18F3" w:rsidRPr="000B616B" w:rsidRDefault="004C18F3" w:rsidP="001231C5">
            <w:pPr>
              <w:pStyle w:val="BodyText"/>
              <w:cnfStyle w:val="100000000000" w:firstRow="1" w:lastRow="0" w:firstColumn="0" w:lastColumn="0" w:oddVBand="0" w:evenVBand="0" w:oddHBand="0" w:evenHBand="0" w:firstRowFirstColumn="0" w:firstRowLastColumn="0" w:lastRowFirstColumn="0" w:lastRowLastColumn="0"/>
              <w:rPr>
                <w:color w:val="1F497D" w:themeColor="text2"/>
              </w:rPr>
            </w:pPr>
            <w:r w:rsidRPr="002196FC">
              <w:t>First issue</w:t>
            </w:r>
          </w:p>
        </w:tc>
      </w:tr>
      <w:tr w:rsidR="004C18F3" w:rsidRPr="00265598" w14:paraId="6F3FDCD0" w14:textId="77777777" w:rsidTr="00FA46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471E552A" w14:textId="77777777" w:rsidR="004C18F3" w:rsidRPr="00265598" w:rsidRDefault="004C18F3" w:rsidP="001231C5">
            <w:pPr>
              <w:pStyle w:val="BodyText"/>
            </w:pPr>
            <w:proofErr w:type="spellStart"/>
            <w:r>
              <w:t>Remarks</w:t>
            </w:r>
            <w:proofErr w:type="spellEnd"/>
          </w:p>
        </w:tc>
        <w:tc>
          <w:tcPr>
            <w:tcW w:w="2835" w:type="dxa"/>
          </w:tcPr>
          <w:p w14:paraId="71B60738" w14:textId="77777777" w:rsidR="004C18F3" w:rsidRPr="003662C5" w:rsidRDefault="004C18F3" w:rsidP="001231C5">
            <w:pPr>
              <w:pStyle w:val="BodyText"/>
              <w:cnfStyle w:val="000000100000" w:firstRow="0" w:lastRow="0" w:firstColumn="0" w:lastColumn="0" w:oddVBand="0" w:evenVBand="0" w:oddHBand="1" w:evenHBand="0" w:firstRowFirstColumn="0" w:firstRowLastColumn="0" w:lastRowFirstColumn="0" w:lastRowLastColumn="0"/>
            </w:pPr>
          </w:p>
        </w:tc>
      </w:tr>
      <w:tr w:rsidR="004C18F3" w:rsidRPr="00265598" w14:paraId="2BB94068" w14:textId="77777777" w:rsidTr="00FA46CE">
        <w:trPr>
          <w:jc w:val="center"/>
        </w:trPr>
        <w:tc>
          <w:tcPr>
            <w:cnfStyle w:val="001000000000" w:firstRow="0" w:lastRow="0" w:firstColumn="1" w:lastColumn="0" w:oddVBand="0" w:evenVBand="0" w:oddHBand="0" w:evenHBand="0" w:firstRowFirstColumn="0" w:firstRowLastColumn="0" w:lastRowFirstColumn="0" w:lastRowLastColumn="0"/>
            <w:tcW w:w="2405" w:type="dxa"/>
          </w:tcPr>
          <w:p w14:paraId="0006FFF1" w14:textId="77777777" w:rsidR="004C18F3" w:rsidRPr="00265598" w:rsidRDefault="004C18F3" w:rsidP="001231C5">
            <w:pPr>
              <w:pStyle w:val="BodyText"/>
            </w:pPr>
            <w:r>
              <w:t>Date</w:t>
            </w:r>
          </w:p>
        </w:tc>
        <w:tc>
          <w:tcPr>
            <w:tcW w:w="2835" w:type="dxa"/>
          </w:tcPr>
          <w:p w14:paraId="27957514" w14:textId="417C6713" w:rsidR="004C18F3" w:rsidRPr="003662C5" w:rsidRDefault="002A7586" w:rsidP="001231C5">
            <w:pPr>
              <w:pStyle w:val="BodyText"/>
              <w:cnfStyle w:val="000000000000" w:firstRow="0" w:lastRow="0" w:firstColumn="0" w:lastColumn="0" w:oddVBand="0" w:evenVBand="0" w:oddHBand="0" w:evenHBand="0" w:firstRowFirstColumn="0" w:firstRowLastColumn="0" w:lastRowFirstColumn="0" w:lastRowLastColumn="0"/>
            </w:pPr>
            <w:r>
              <w:t>24</w:t>
            </w:r>
            <w:r w:rsidR="004C18F3">
              <w:t>/05/2023</w:t>
            </w:r>
          </w:p>
        </w:tc>
      </w:tr>
      <w:tr w:rsidR="004C18F3" w:rsidRPr="008D05CD" w14:paraId="0241E8AF" w14:textId="77777777" w:rsidTr="00FA46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7CE8A979" w14:textId="77777777" w:rsidR="004C18F3" w:rsidRPr="00265598" w:rsidRDefault="004C18F3" w:rsidP="001231C5">
            <w:pPr>
              <w:pStyle w:val="BodyText"/>
            </w:pPr>
            <w:proofErr w:type="spellStart"/>
            <w:r>
              <w:t>Prepared</w:t>
            </w:r>
            <w:proofErr w:type="spellEnd"/>
            <w:r>
              <w:t xml:space="preserve"> by</w:t>
            </w:r>
          </w:p>
        </w:tc>
        <w:tc>
          <w:tcPr>
            <w:tcW w:w="2835" w:type="dxa"/>
          </w:tcPr>
          <w:p w14:paraId="04BA830B" w14:textId="07F76E74" w:rsidR="004C18F3" w:rsidRPr="002958C6" w:rsidRDefault="00B33731" w:rsidP="001231C5">
            <w:pPr>
              <w:pStyle w:val="BodyText"/>
              <w:cnfStyle w:val="000000100000" w:firstRow="0" w:lastRow="0" w:firstColumn="0" w:lastColumn="0" w:oddVBand="0" w:evenVBand="0" w:oddHBand="1" w:evenHBand="0" w:firstRowFirstColumn="0" w:firstRowLastColumn="0" w:lastRowFirstColumn="0" w:lastRowLastColumn="0"/>
              <w:rPr>
                <w:lang w:val="pt-BR"/>
              </w:rPr>
            </w:pPr>
            <w:r>
              <w:rPr>
                <w:lang w:val="pt-BR"/>
              </w:rPr>
              <w:t xml:space="preserve">Danny Pudjianto, Goran Strbac, </w:t>
            </w:r>
            <w:r w:rsidR="004C18F3" w:rsidRPr="002958C6">
              <w:rPr>
                <w:lang w:val="pt-BR"/>
              </w:rPr>
              <w:t>Nuno Fernandes P</w:t>
            </w:r>
            <w:r w:rsidR="004C18F3">
              <w:rPr>
                <w:lang w:val="pt-BR"/>
              </w:rPr>
              <w:t>edro</w:t>
            </w:r>
            <w:r>
              <w:rPr>
                <w:lang w:val="pt-BR"/>
              </w:rPr>
              <w:t>, Marouf Pirouti</w:t>
            </w:r>
          </w:p>
        </w:tc>
      </w:tr>
      <w:tr w:rsidR="004C18F3" w:rsidRPr="00265598" w14:paraId="6E0FF7E0" w14:textId="77777777" w:rsidTr="00FA46CE">
        <w:trPr>
          <w:trHeight w:val="567"/>
          <w:jc w:val="center"/>
        </w:trPr>
        <w:tc>
          <w:tcPr>
            <w:cnfStyle w:val="001000000000" w:firstRow="0" w:lastRow="0" w:firstColumn="1" w:lastColumn="0" w:oddVBand="0" w:evenVBand="0" w:oddHBand="0" w:evenHBand="0" w:firstRowFirstColumn="0" w:firstRowLastColumn="0" w:lastRowFirstColumn="0" w:lastRowLastColumn="0"/>
            <w:tcW w:w="2405" w:type="dxa"/>
          </w:tcPr>
          <w:p w14:paraId="35883114" w14:textId="77777777" w:rsidR="004C18F3" w:rsidRPr="00265598" w:rsidRDefault="004C18F3" w:rsidP="001231C5">
            <w:pPr>
              <w:pStyle w:val="BodyText"/>
            </w:pPr>
            <w:r>
              <w:t>Signature</w:t>
            </w:r>
          </w:p>
        </w:tc>
        <w:tc>
          <w:tcPr>
            <w:tcW w:w="2835" w:type="dxa"/>
          </w:tcPr>
          <w:p w14:paraId="44CFAC40" w14:textId="77777777" w:rsidR="004C18F3" w:rsidRPr="003662C5" w:rsidRDefault="004C18F3" w:rsidP="001231C5">
            <w:pPr>
              <w:pStyle w:val="BodyText"/>
              <w:numPr>
                <w:ilvl w:val="0"/>
                <w:numId w:val="0"/>
              </w:numPr>
              <w:cnfStyle w:val="000000000000" w:firstRow="0" w:lastRow="0" w:firstColumn="0" w:lastColumn="0" w:oddVBand="0" w:evenVBand="0" w:oddHBand="0" w:evenHBand="0" w:firstRowFirstColumn="0" w:firstRowLastColumn="0" w:lastRowFirstColumn="0" w:lastRowLastColumn="0"/>
            </w:pPr>
          </w:p>
        </w:tc>
      </w:tr>
      <w:tr w:rsidR="004C18F3" w:rsidRPr="00265598" w14:paraId="469EB210" w14:textId="77777777" w:rsidTr="00FA46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75A54A67" w14:textId="77777777" w:rsidR="004C18F3" w:rsidRPr="00265598" w:rsidRDefault="004C18F3" w:rsidP="001231C5">
            <w:pPr>
              <w:pStyle w:val="BodyText"/>
            </w:pPr>
            <w:proofErr w:type="spellStart"/>
            <w:r>
              <w:t>Checked</w:t>
            </w:r>
            <w:proofErr w:type="spellEnd"/>
            <w:r>
              <w:t xml:space="preserve"> by</w:t>
            </w:r>
          </w:p>
        </w:tc>
        <w:tc>
          <w:tcPr>
            <w:tcW w:w="2835" w:type="dxa"/>
          </w:tcPr>
          <w:p w14:paraId="61243F56" w14:textId="366B43F2" w:rsidR="004C18F3" w:rsidRPr="003662C5" w:rsidRDefault="008811C3" w:rsidP="001231C5">
            <w:pPr>
              <w:pStyle w:val="BodyText"/>
              <w:cnfStyle w:val="000000100000" w:firstRow="0" w:lastRow="0" w:firstColumn="0" w:lastColumn="0" w:oddVBand="0" w:evenVBand="0" w:oddHBand="1" w:evenHBand="0" w:firstRowFirstColumn="0" w:firstRowLastColumn="0" w:lastRowFirstColumn="0" w:lastRowLastColumn="0"/>
            </w:pPr>
            <w:r>
              <w:t>Stuart Fowler, Fiona Fulton</w:t>
            </w:r>
          </w:p>
        </w:tc>
      </w:tr>
      <w:tr w:rsidR="004C18F3" w:rsidRPr="00265598" w14:paraId="2930F4AD" w14:textId="77777777" w:rsidTr="00FA46CE">
        <w:trPr>
          <w:trHeight w:val="567"/>
          <w:jc w:val="center"/>
        </w:trPr>
        <w:tc>
          <w:tcPr>
            <w:cnfStyle w:val="001000000000" w:firstRow="0" w:lastRow="0" w:firstColumn="1" w:lastColumn="0" w:oddVBand="0" w:evenVBand="0" w:oddHBand="0" w:evenHBand="0" w:firstRowFirstColumn="0" w:firstRowLastColumn="0" w:lastRowFirstColumn="0" w:lastRowLastColumn="0"/>
            <w:tcW w:w="2405" w:type="dxa"/>
          </w:tcPr>
          <w:p w14:paraId="5121F843" w14:textId="77777777" w:rsidR="004C18F3" w:rsidRPr="00265598" w:rsidRDefault="004C18F3" w:rsidP="001231C5">
            <w:pPr>
              <w:pStyle w:val="BodyText"/>
            </w:pPr>
            <w:r>
              <w:t>Signature</w:t>
            </w:r>
          </w:p>
        </w:tc>
        <w:tc>
          <w:tcPr>
            <w:tcW w:w="2835" w:type="dxa"/>
          </w:tcPr>
          <w:p w14:paraId="1F3E0420" w14:textId="77777777" w:rsidR="004C18F3" w:rsidRPr="003662C5" w:rsidRDefault="004C18F3" w:rsidP="001231C5">
            <w:pPr>
              <w:pStyle w:val="BodyText"/>
              <w:cnfStyle w:val="000000000000" w:firstRow="0" w:lastRow="0" w:firstColumn="0" w:lastColumn="0" w:oddVBand="0" w:evenVBand="0" w:oddHBand="0" w:evenHBand="0" w:firstRowFirstColumn="0" w:firstRowLastColumn="0" w:lastRowFirstColumn="0" w:lastRowLastColumn="0"/>
            </w:pPr>
          </w:p>
        </w:tc>
      </w:tr>
      <w:tr w:rsidR="004C18F3" w:rsidRPr="00265598" w14:paraId="3DBEDF5E" w14:textId="77777777" w:rsidTr="00FA46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56275B66" w14:textId="77777777" w:rsidR="004C18F3" w:rsidRPr="00265598" w:rsidRDefault="004C18F3" w:rsidP="001231C5">
            <w:pPr>
              <w:pStyle w:val="BodyText"/>
            </w:pPr>
            <w:proofErr w:type="spellStart"/>
            <w:r>
              <w:t>Authorised</w:t>
            </w:r>
            <w:proofErr w:type="spellEnd"/>
            <w:r>
              <w:t xml:space="preserve"> by</w:t>
            </w:r>
          </w:p>
        </w:tc>
        <w:tc>
          <w:tcPr>
            <w:tcW w:w="2835" w:type="dxa"/>
          </w:tcPr>
          <w:p w14:paraId="3EEA4DFE" w14:textId="038A61E7" w:rsidR="004C18F3" w:rsidRPr="003662C5" w:rsidRDefault="008D05CD" w:rsidP="001231C5">
            <w:pPr>
              <w:pStyle w:val="BodyText"/>
              <w:cnfStyle w:val="000000100000" w:firstRow="0" w:lastRow="0" w:firstColumn="0" w:lastColumn="0" w:oddVBand="0" w:evenVBand="0" w:oddHBand="1" w:evenHBand="0" w:firstRowFirstColumn="0" w:firstRowLastColumn="0" w:lastRowFirstColumn="0" w:lastRowLastColumn="0"/>
            </w:pPr>
            <w:r>
              <w:t>Nuno Fernandes Pedro</w:t>
            </w:r>
          </w:p>
        </w:tc>
      </w:tr>
      <w:tr w:rsidR="004C18F3" w:rsidRPr="00265598" w14:paraId="1455A908" w14:textId="77777777" w:rsidTr="00FA46CE">
        <w:trPr>
          <w:trHeight w:val="567"/>
          <w:jc w:val="center"/>
        </w:trPr>
        <w:tc>
          <w:tcPr>
            <w:cnfStyle w:val="001000000000" w:firstRow="0" w:lastRow="0" w:firstColumn="1" w:lastColumn="0" w:oddVBand="0" w:evenVBand="0" w:oddHBand="0" w:evenHBand="0" w:firstRowFirstColumn="0" w:firstRowLastColumn="0" w:lastRowFirstColumn="0" w:lastRowLastColumn="0"/>
            <w:tcW w:w="2405" w:type="dxa"/>
          </w:tcPr>
          <w:p w14:paraId="5E8BE7AC" w14:textId="77777777" w:rsidR="004C18F3" w:rsidRPr="00265598" w:rsidRDefault="004C18F3" w:rsidP="001231C5">
            <w:pPr>
              <w:pStyle w:val="BodyText"/>
            </w:pPr>
            <w:r>
              <w:t>Signature</w:t>
            </w:r>
          </w:p>
        </w:tc>
        <w:tc>
          <w:tcPr>
            <w:tcW w:w="2835" w:type="dxa"/>
          </w:tcPr>
          <w:p w14:paraId="3843991C" w14:textId="6EDA9642" w:rsidR="004C18F3" w:rsidRPr="003662C5" w:rsidRDefault="008D05CD" w:rsidP="001231C5">
            <w:pPr>
              <w:pStyle w:val="BodyText"/>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2C35CC9" wp14:editId="2BCB59C5">
                  <wp:extent cx="1388745" cy="319405"/>
                  <wp:effectExtent l="0" t="0" r="1905" b="4445"/>
                  <wp:docPr id="159378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88745" cy="319405"/>
                          </a:xfrm>
                          <a:prstGeom prst="rect">
                            <a:avLst/>
                          </a:prstGeom>
                          <a:noFill/>
                          <a:ln>
                            <a:noFill/>
                          </a:ln>
                        </pic:spPr>
                      </pic:pic>
                    </a:graphicData>
                  </a:graphic>
                </wp:inline>
              </w:drawing>
            </w:r>
          </w:p>
        </w:tc>
      </w:tr>
      <w:tr w:rsidR="004C18F3" w:rsidRPr="00265598" w14:paraId="5C023E5A" w14:textId="77777777" w:rsidTr="00FA46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354253ED" w14:textId="3E0FF2F7" w:rsidR="004C18F3" w:rsidRPr="00265598" w:rsidRDefault="004C18F3" w:rsidP="001231C5">
            <w:pPr>
              <w:pStyle w:val="BodyText"/>
            </w:pPr>
            <w:r>
              <w:t xml:space="preserve">Project </w:t>
            </w:r>
            <w:proofErr w:type="spellStart"/>
            <w:r>
              <w:t>number</w:t>
            </w:r>
            <w:proofErr w:type="spellEnd"/>
            <w:r w:rsidR="00C40528">
              <w:t xml:space="preserve"> (WSP)</w:t>
            </w:r>
          </w:p>
        </w:tc>
        <w:tc>
          <w:tcPr>
            <w:tcW w:w="2835" w:type="dxa"/>
          </w:tcPr>
          <w:p w14:paraId="4C9A7188" w14:textId="4F575412" w:rsidR="004C18F3" w:rsidRPr="003662C5" w:rsidRDefault="004C18F3" w:rsidP="001231C5">
            <w:pPr>
              <w:pStyle w:val="BodyText"/>
              <w:cnfStyle w:val="000000100000" w:firstRow="0" w:lastRow="0" w:firstColumn="0" w:lastColumn="0" w:oddVBand="0" w:evenVBand="0" w:oddHBand="1" w:evenHBand="0" w:firstRowFirstColumn="0" w:firstRowLastColumn="0" w:lastRowFirstColumn="0" w:lastRowLastColumn="0"/>
            </w:pPr>
            <w:r>
              <w:t>70</w:t>
            </w:r>
            <w:r w:rsidR="00C40528">
              <w:t>08</w:t>
            </w:r>
            <w:r w:rsidR="00145C28">
              <w:t>3589</w:t>
            </w:r>
          </w:p>
        </w:tc>
      </w:tr>
      <w:tr w:rsidR="004C18F3" w:rsidRPr="00265598" w14:paraId="373D8211" w14:textId="77777777" w:rsidTr="00FA46CE">
        <w:trPr>
          <w:jc w:val="center"/>
        </w:trPr>
        <w:tc>
          <w:tcPr>
            <w:cnfStyle w:val="001000000000" w:firstRow="0" w:lastRow="0" w:firstColumn="1" w:lastColumn="0" w:oddVBand="0" w:evenVBand="0" w:oddHBand="0" w:evenHBand="0" w:firstRowFirstColumn="0" w:firstRowLastColumn="0" w:lastRowFirstColumn="0" w:lastRowLastColumn="0"/>
            <w:tcW w:w="2405" w:type="dxa"/>
          </w:tcPr>
          <w:p w14:paraId="5D1EFBA1" w14:textId="77777777" w:rsidR="004C18F3" w:rsidRPr="00265598" w:rsidRDefault="004C18F3" w:rsidP="001231C5">
            <w:pPr>
              <w:pStyle w:val="BodyText"/>
            </w:pPr>
            <w:r>
              <w:t xml:space="preserve">Report </w:t>
            </w:r>
            <w:proofErr w:type="spellStart"/>
            <w:r>
              <w:t>number</w:t>
            </w:r>
            <w:proofErr w:type="spellEnd"/>
          </w:p>
        </w:tc>
        <w:tc>
          <w:tcPr>
            <w:tcW w:w="2835" w:type="dxa"/>
          </w:tcPr>
          <w:p w14:paraId="08A82FC6" w14:textId="140977F3" w:rsidR="004C18F3" w:rsidRPr="003662C5" w:rsidRDefault="00145C28" w:rsidP="001231C5">
            <w:pPr>
              <w:pStyle w:val="BodyText"/>
              <w:cnfStyle w:val="000000000000" w:firstRow="0" w:lastRow="0" w:firstColumn="0" w:lastColumn="0" w:oddVBand="0" w:evenVBand="0" w:oddHBand="0" w:evenHBand="0" w:firstRowFirstColumn="0" w:firstRowLastColumn="0" w:lastRowFirstColumn="0" w:lastRowLastColumn="0"/>
            </w:pPr>
            <w:r>
              <w:t>2</w:t>
            </w:r>
          </w:p>
        </w:tc>
      </w:tr>
      <w:tr w:rsidR="004C18F3" w:rsidRPr="00265598" w14:paraId="48C73202" w14:textId="77777777" w:rsidTr="00FA46C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4DB3966C" w14:textId="77777777" w:rsidR="004C18F3" w:rsidRPr="00265598" w:rsidRDefault="004C18F3" w:rsidP="001231C5">
            <w:pPr>
              <w:pStyle w:val="BodyText"/>
            </w:pPr>
            <w:r>
              <w:t xml:space="preserve">File </w:t>
            </w:r>
            <w:proofErr w:type="spellStart"/>
            <w:r>
              <w:t>reference</w:t>
            </w:r>
            <w:proofErr w:type="spellEnd"/>
          </w:p>
        </w:tc>
        <w:tc>
          <w:tcPr>
            <w:tcW w:w="2835" w:type="dxa"/>
          </w:tcPr>
          <w:p w14:paraId="7D9E9BAD" w14:textId="77777777" w:rsidR="004C18F3" w:rsidRPr="003662C5" w:rsidRDefault="004C18F3" w:rsidP="001231C5">
            <w:pPr>
              <w:pStyle w:val="BodyText"/>
              <w:cnfStyle w:val="000000100000" w:firstRow="0" w:lastRow="0" w:firstColumn="0" w:lastColumn="0" w:oddVBand="0" w:evenVBand="0" w:oddHBand="1" w:evenHBand="0" w:firstRowFirstColumn="0" w:firstRowLastColumn="0" w:lastRowFirstColumn="0" w:lastRowLastColumn="0"/>
            </w:pPr>
          </w:p>
        </w:tc>
      </w:tr>
    </w:tbl>
    <w:p w14:paraId="0894ED5D" w14:textId="4853EFB3" w:rsidR="00B212E1" w:rsidRDefault="00B212E1" w:rsidP="00DB540B">
      <w:pPr>
        <w:rPr>
          <w:lang w:eastAsia="zh-CN"/>
        </w:rPr>
      </w:pPr>
    </w:p>
    <w:p w14:paraId="6B758128" w14:textId="0A77B499" w:rsidR="00B212E1" w:rsidRDefault="00B212E1" w:rsidP="00DB540B">
      <w:pPr>
        <w:rPr>
          <w:lang w:eastAsia="zh-CN"/>
        </w:rPr>
      </w:pPr>
    </w:p>
    <w:p w14:paraId="1D34DBCF" w14:textId="051E883C" w:rsidR="00B212E1" w:rsidRDefault="00B212E1" w:rsidP="00DB540B">
      <w:pPr>
        <w:rPr>
          <w:lang w:eastAsia="zh-CN"/>
        </w:rPr>
      </w:pPr>
    </w:p>
    <w:p w14:paraId="514820DB" w14:textId="3E5EB249" w:rsidR="00B212E1" w:rsidRDefault="00B212E1" w:rsidP="00DB540B">
      <w:pPr>
        <w:rPr>
          <w:lang w:eastAsia="zh-CN"/>
        </w:rPr>
      </w:pPr>
    </w:p>
    <w:p w14:paraId="3222C791" w14:textId="77777777" w:rsidR="00B212E1" w:rsidRDefault="00B212E1" w:rsidP="00DB540B">
      <w:pPr>
        <w:rPr>
          <w:lang w:eastAsia="zh-CN"/>
        </w:rPr>
      </w:pPr>
    </w:p>
    <w:p w14:paraId="18E7DEE6" w14:textId="77777777" w:rsidR="00B212E1" w:rsidRDefault="00B212E1" w:rsidP="00DB540B">
      <w:pPr>
        <w:rPr>
          <w:lang w:eastAsia="zh-CN"/>
        </w:rPr>
      </w:pPr>
    </w:p>
    <w:p w14:paraId="5D269350" w14:textId="77777777" w:rsidR="00B212E1" w:rsidRDefault="00B212E1" w:rsidP="00DB540B">
      <w:pPr>
        <w:rPr>
          <w:lang w:eastAsia="zh-CN"/>
        </w:rPr>
      </w:pPr>
    </w:p>
    <w:p w14:paraId="72AEE033" w14:textId="77777777" w:rsidR="00B212E1" w:rsidRDefault="00B212E1" w:rsidP="00DB540B">
      <w:pPr>
        <w:rPr>
          <w:lang w:eastAsia="zh-CN"/>
        </w:rPr>
      </w:pPr>
    </w:p>
    <w:p w14:paraId="086EB44D" w14:textId="0E4DF13C" w:rsidR="00B212E1" w:rsidRDefault="00B212E1" w:rsidP="00DB540B">
      <w:pPr>
        <w:rPr>
          <w:lang w:eastAsia="zh-CN"/>
        </w:rPr>
      </w:pPr>
    </w:p>
    <w:p w14:paraId="6F6743C0" w14:textId="3CE73E4D" w:rsidR="00B212E1" w:rsidRDefault="00B212E1" w:rsidP="00DB540B">
      <w:pPr>
        <w:rPr>
          <w:lang w:eastAsia="zh-CN"/>
        </w:rPr>
      </w:pPr>
    </w:p>
    <w:p w14:paraId="47FF373E" w14:textId="7CB8E5CB" w:rsidR="00B212E1" w:rsidRPr="00DB540B" w:rsidRDefault="00B212E1" w:rsidP="00DB540B">
      <w:pPr>
        <w:rPr>
          <w:lang w:eastAsia="zh-CN"/>
        </w:rPr>
      </w:pPr>
    </w:p>
    <w:p w14:paraId="0822C0C9" w14:textId="77777777" w:rsidR="00814BB4" w:rsidRPr="0056306A" w:rsidRDefault="00814BB4" w:rsidP="00903EB8">
      <w:pPr>
        <w:rPr>
          <w:rFonts w:asciiTheme="majorHAnsi" w:eastAsiaTheme="majorEastAsia" w:hAnsiTheme="majorHAnsi" w:cstheme="majorBidi"/>
          <w:color w:val="365F91" w:themeColor="accent1" w:themeShade="BF"/>
          <w:sz w:val="52"/>
          <w:szCs w:val="52"/>
        </w:rPr>
      </w:pPr>
      <w:r w:rsidRPr="0056306A">
        <w:br w:type="page"/>
      </w:r>
    </w:p>
    <w:p w14:paraId="134823AD" w14:textId="7E93D36C" w:rsidR="00B25B6C" w:rsidRPr="0056306A" w:rsidRDefault="00680567" w:rsidP="007C0D6C">
      <w:pPr>
        <w:pStyle w:val="Heading1"/>
        <w:numPr>
          <w:ilvl w:val="0"/>
          <w:numId w:val="0"/>
        </w:numPr>
        <w:ind w:left="432" w:hanging="432"/>
        <w:rPr>
          <w:lang w:val="en-GB"/>
        </w:rPr>
      </w:pPr>
      <w:bookmarkStart w:id="2" w:name="_Toc135829945"/>
      <w:r w:rsidRPr="0056306A">
        <w:rPr>
          <w:lang w:val="en-GB"/>
        </w:rPr>
        <w:lastRenderedPageBreak/>
        <w:t>Executive Summary</w:t>
      </w:r>
      <w:bookmarkEnd w:id="1"/>
      <w:bookmarkEnd w:id="2"/>
    </w:p>
    <w:p w14:paraId="1BDD15B4" w14:textId="77777777" w:rsidR="00821B1C" w:rsidRPr="0056306A" w:rsidRDefault="00821B1C" w:rsidP="00B701A3"/>
    <w:p w14:paraId="0DAA0471" w14:textId="78CC3DFA" w:rsidR="00120B84" w:rsidRPr="00FD6DE8" w:rsidRDefault="00120B84" w:rsidP="00F7783E">
      <w:pPr>
        <w:spacing w:before="100" w:beforeAutospacing="1"/>
        <w:rPr>
          <w:rFonts w:eastAsia="Times New Roman"/>
          <w:lang w:eastAsia="en-GB"/>
        </w:rPr>
      </w:pPr>
      <w:r w:rsidRPr="19E3354A">
        <w:t xml:space="preserve">Increased Distributed Flexibility Resources (DFRs) from small and medium-scale generators, energy storage, and demand response technologies connected at various distribution network voltage levels create opportunities and challenges for the ongoing energy system transformation. </w:t>
      </w:r>
      <w:r w:rsidR="00864B96" w:rsidRPr="19E3354A">
        <w:rPr>
          <w:rFonts w:eastAsia="Times New Roman"/>
          <w:lang w:eastAsia="en-GB"/>
        </w:rPr>
        <w:t>Coordination between the electricity system operator and distribution system operator is critical for grid stability, demand-supply balancing, integration of renewable energy, grid planning and investment, outage management, and efficient market operation. It enables effective grid management, ensuring a reliable and secure consumer electricity supply.</w:t>
      </w:r>
      <w:r w:rsidRPr="19E3354A">
        <w:rPr>
          <w:rFonts w:eastAsia="Times New Roman"/>
          <w:lang w:eastAsia="en-GB"/>
        </w:rPr>
        <w:t xml:space="preserve"> </w:t>
      </w:r>
      <w:r>
        <w:t xml:space="preserve">Coordinating DERs to provide grid-flexibility services to both transmission and distribution networks will require significant data exchange and synergic decision-making processes between ESO and DSO that can be challenging given the different objectives those entities may have while trying to minimise the overall cost from the whole-system perspective. </w:t>
      </w:r>
    </w:p>
    <w:p w14:paraId="1AEB4534" w14:textId="5E523E2B" w:rsidR="00120B84" w:rsidRDefault="00120B84" w:rsidP="00120B84">
      <w:r>
        <w:t xml:space="preserve">In this context, this report aims to analyse the techno-economic assessment and system implications of alternative ESO-DSO coordination approaches on Great Britain's future energy system under different conditions to understand the value of improving ESO-DSO coordination. A range of case studies has been </w:t>
      </w:r>
      <w:r w:rsidR="00FC5FFE">
        <w:t>conducted</w:t>
      </w:r>
      <w:r>
        <w:t xml:space="preserve"> to analyse the techno-economic performance of </w:t>
      </w:r>
      <w:r w:rsidR="00853781">
        <w:t xml:space="preserve">three </w:t>
      </w:r>
      <w:r>
        <w:t>different ESO-DSO coordination approaches</w:t>
      </w:r>
      <w:r w:rsidR="00195CE3">
        <w:t>: (</w:t>
      </w:r>
      <w:proofErr w:type="spellStart"/>
      <w:r w:rsidR="00195CE3">
        <w:t>i</w:t>
      </w:r>
      <w:proofErr w:type="spellEnd"/>
      <w:r w:rsidR="00195CE3">
        <w:t xml:space="preserve">) </w:t>
      </w:r>
      <w:r w:rsidR="00CE69C9">
        <w:t xml:space="preserve">ESO-led </w:t>
      </w:r>
      <w:r w:rsidR="00195CE3">
        <w:t>Business-as-Usual (</w:t>
      </w:r>
      <w:r w:rsidR="00CE69C9">
        <w:t>BaU</w:t>
      </w:r>
      <w:r w:rsidR="00195CE3">
        <w:t>), (ii) Scheme 1: Enhanced Coordination</w:t>
      </w:r>
      <w:r w:rsidR="00DA3732">
        <w:t xml:space="preserve">, and (iii) Distributed Flexibility Coordinator. The </w:t>
      </w:r>
      <w:r w:rsidR="00397DA0">
        <w:t xml:space="preserve">studies aim to identify the enduring solutions for </w:t>
      </w:r>
      <w:r w:rsidR="00A61C7F">
        <w:t>managing DFRs</w:t>
      </w:r>
      <w:r w:rsidR="00D0206B">
        <w:t>,</w:t>
      </w:r>
      <w:r w:rsidR="00A61C7F">
        <w:t xml:space="preserve"> and therefore, </w:t>
      </w:r>
      <w:r w:rsidR="00DF3731">
        <w:t>the studies were conducted</w:t>
      </w:r>
      <w:r>
        <w:t xml:space="preserve"> on the 2050 net zero-emission system to ensure the effectiveness of the approaches on future sustainable energy systems. Flexibility from all technologies, including sector-coupling flexibility in electricity, </w:t>
      </w:r>
      <w:proofErr w:type="gramStart"/>
      <w:r>
        <w:t>gas</w:t>
      </w:r>
      <w:proofErr w:type="gramEnd"/>
      <w:r>
        <w:t xml:space="preserve"> and heating/cooling systems, has been considered. </w:t>
      </w:r>
    </w:p>
    <w:p w14:paraId="120C5541" w14:textId="0AFCAFA7" w:rsidR="00120B84" w:rsidRDefault="00120B84" w:rsidP="00120B84">
      <w:r w:rsidRPr="0056306A">
        <w:t>The key findings can be summarized as follows:</w:t>
      </w:r>
    </w:p>
    <w:p w14:paraId="6D7A4F1D" w14:textId="76B07E06" w:rsidR="001919A7" w:rsidRDefault="00F26743" w:rsidP="00120B84">
      <w:pPr>
        <w:rPr>
          <w:b/>
          <w:bCs/>
        </w:rPr>
      </w:pPr>
      <w:r w:rsidRPr="00FF5438">
        <w:rPr>
          <w:b/>
          <w:bCs/>
        </w:rPr>
        <w:t xml:space="preserve">Distributed flexibility </w:t>
      </w:r>
      <w:r w:rsidR="00FF5438" w:rsidRPr="00FF5438">
        <w:rPr>
          <w:b/>
          <w:bCs/>
        </w:rPr>
        <w:t xml:space="preserve">should be facilitated to minimise the system </w:t>
      </w:r>
      <w:proofErr w:type="gramStart"/>
      <w:r w:rsidR="00FF5438" w:rsidRPr="00FF5438">
        <w:rPr>
          <w:b/>
          <w:bCs/>
        </w:rPr>
        <w:t>costs</w:t>
      </w:r>
      <w:proofErr w:type="gramEnd"/>
    </w:p>
    <w:p w14:paraId="3066AE95" w14:textId="6D549195" w:rsidR="00D8389F" w:rsidRPr="009E596A" w:rsidRDefault="00D8389F" w:rsidP="00D8389F">
      <w:pPr>
        <w:pStyle w:val="BulletPoint1"/>
        <w:rPr>
          <w:i/>
          <w:iCs/>
        </w:rPr>
      </w:pPr>
      <w:r>
        <w:t xml:space="preserve">Harnessing and utilising distributed flexibility resources saves the annual system costs between 7.4- 7.8 £bn/year in H2 and 9-11.3 £bn/year in ELEC. </w:t>
      </w:r>
    </w:p>
    <w:p w14:paraId="6E4457FA" w14:textId="4E9A7464" w:rsidR="00D8389F" w:rsidRDefault="00D8389F" w:rsidP="00D8389F">
      <w:pPr>
        <w:pStyle w:val="BulletPoint1"/>
      </w:pPr>
      <w:r>
        <w:t xml:space="preserve">Electrification is </w:t>
      </w:r>
      <w:r w:rsidR="005D0545">
        <w:t>one of</w:t>
      </w:r>
      <w:r>
        <w:t xml:space="preserve"> </w:t>
      </w:r>
      <w:r w:rsidR="00D0206B">
        <w:t xml:space="preserve">the </w:t>
      </w:r>
      <w:r>
        <w:t>major driver</w:t>
      </w:r>
      <w:r w:rsidR="005D0545">
        <w:t>s</w:t>
      </w:r>
      <w:r>
        <w:t xml:space="preserve"> for utilising distributed flexibility resources. </w:t>
      </w:r>
      <w:r w:rsidR="005D0545">
        <w:t xml:space="preserve">Therefore, </w:t>
      </w:r>
      <w:r w:rsidR="006B5A1D">
        <w:t>the benefits of distributed flexibility are higher in deep electrification</w:t>
      </w:r>
      <w:r w:rsidR="00F4710B">
        <w:t>. Therefore, it</w:t>
      </w:r>
      <w:r w:rsidR="005D0545">
        <w:t xml:space="preserve"> requires a more holistic approach to coordinating distributed flexibility resources. </w:t>
      </w:r>
      <w:r w:rsidR="00A262D7">
        <w:t>It is worth noting that e</w:t>
      </w:r>
      <w:r>
        <w:t>lectrification occurs in both hydrogen and deep electrification pathways in different magnitudes</w:t>
      </w:r>
      <w:r w:rsidR="00F4710B">
        <w:t xml:space="preserve">; hence, </w:t>
      </w:r>
      <w:r w:rsidR="006B5A1D">
        <w:t>deploying</w:t>
      </w:r>
      <w:r w:rsidR="00F4710B">
        <w:t xml:space="preserve"> distributed flexibility resources is relevant in both scenarios.</w:t>
      </w:r>
    </w:p>
    <w:p w14:paraId="70FB08B1" w14:textId="1637C59D" w:rsidR="00385E2A" w:rsidRDefault="00385E2A" w:rsidP="00385E2A">
      <w:pPr>
        <w:pStyle w:val="BulletPoint1"/>
        <w:rPr>
          <w:b/>
          <w:bCs/>
        </w:rPr>
      </w:pPr>
      <w:r>
        <w:t xml:space="preserve">The savings can be achieved if there is some investment in flexibility sources such as heat storage, electricity storage, and demand response technologies. </w:t>
      </w:r>
      <w:r w:rsidR="005F526F">
        <w:t>Given the cost assumptions used in the study, t</w:t>
      </w:r>
      <w:r>
        <w:t>he cost of procuring and utilising distributed flexibility is much lower than its benefits.</w:t>
      </w:r>
    </w:p>
    <w:p w14:paraId="61F2C2F8" w14:textId="3EB414FE" w:rsidR="00B92C1B" w:rsidRDefault="00B92C1B" w:rsidP="00B92C1B">
      <w:pPr>
        <w:pStyle w:val="BulletPoint1"/>
      </w:pPr>
      <w:r>
        <w:t xml:space="preserve">The main savings attributed to distributed flexibility are in the mitigation cost of investment in low-carbon power generation and distribution networks. Customers' flexibility also reduces end-users' appliance costs, such as heat pumps. Heat storage can reduce the size of heat </w:t>
      </w:r>
      <w:r>
        <w:lastRenderedPageBreak/>
        <w:t xml:space="preserve">pumps needed. Moreover, the savings happen not only in the electricity sector but also in other system costs, such as the reduced investment needed in electrolysers and hydrogen storage. </w:t>
      </w:r>
    </w:p>
    <w:p w14:paraId="5EBD6177" w14:textId="77777777" w:rsidR="005F526F" w:rsidRDefault="005F526F" w:rsidP="00390E22">
      <w:pPr>
        <w:pStyle w:val="BulletPoint1"/>
        <w:numPr>
          <w:ilvl w:val="0"/>
          <w:numId w:val="0"/>
        </w:numPr>
      </w:pPr>
    </w:p>
    <w:p w14:paraId="67876528" w14:textId="4DBBCE68" w:rsidR="006643EF" w:rsidRDefault="00437DEA" w:rsidP="006643EF">
      <w:pPr>
        <w:rPr>
          <w:b/>
          <w:bCs/>
        </w:rPr>
      </w:pPr>
      <w:r w:rsidRPr="00620188">
        <w:rPr>
          <w:b/>
          <w:bCs/>
        </w:rPr>
        <w:t>Benefits of improving ESO – DSO coordination schemes</w:t>
      </w:r>
    </w:p>
    <w:p w14:paraId="693CD10B" w14:textId="36E77302" w:rsidR="00560C9D" w:rsidRDefault="00120B84" w:rsidP="009A65AF">
      <w:pPr>
        <w:pStyle w:val="BulletPoint1"/>
      </w:pPr>
      <w:r>
        <w:t xml:space="preserve">Improving the ESO-DSO coordination approach from the BaU to </w:t>
      </w:r>
      <w:proofErr w:type="gramStart"/>
      <w:r>
        <w:t>Scheme</w:t>
      </w:r>
      <w:proofErr w:type="gramEnd"/>
      <w:r>
        <w:t xml:space="preserve"> 1 and 2 will reduce the cost of the future system by 0.3 – 0.9 £bn/year in the hydrogen scenario and 1.1 – 4.3 £bn/year in the deep electrification scenario. </w:t>
      </w:r>
      <w:r w:rsidR="00D51285">
        <w:t>If the future system is moving towards full electrification of heat and transport, the case for improving ESO-DSO coordination would be stronger than the one with hydrogen heating.</w:t>
      </w:r>
      <w:r w:rsidR="004D5530">
        <w:t xml:space="preserve"> The p</w:t>
      </w:r>
      <w:r w:rsidR="0071548E">
        <w:t xml:space="preserve">erformance of Scheme 1 and 2 </w:t>
      </w:r>
      <w:r w:rsidR="004D5530">
        <w:t>would be</w:t>
      </w:r>
      <w:r w:rsidR="0071548E">
        <w:t xml:space="preserve"> relatively similar if all the coordination </w:t>
      </w:r>
      <w:r w:rsidR="00CE2455">
        <w:t xml:space="preserve">processes could be carried out smoothly. However, </w:t>
      </w:r>
      <w:r w:rsidR="007F187B">
        <w:t xml:space="preserve">Scheme 1 may pose a higher risk </w:t>
      </w:r>
      <w:r w:rsidR="003D78AD">
        <w:t>for</w:t>
      </w:r>
      <w:r w:rsidR="004738F1">
        <w:t xml:space="preserve"> </w:t>
      </w:r>
      <w:r w:rsidR="00DD0485">
        <w:t>suboptimal</w:t>
      </w:r>
      <w:r w:rsidR="003D78AD">
        <w:t xml:space="preserve"> conditions such as </w:t>
      </w:r>
      <w:r w:rsidR="004D5530">
        <w:t xml:space="preserve">a </w:t>
      </w:r>
      <w:r w:rsidR="003D78AD">
        <w:t>lack of ESO</w:t>
      </w:r>
      <w:r w:rsidR="006B5A1D">
        <w:t>'</w:t>
      </w:r>
      <w:r w:rsidR="003D78AD">
        <w:t xml:space="preserve">s ability to incorporate small-scale DFR providers to its control </w:t>
      </w:r>
      <w:r w:rsidR="007327F9">
        <w:t>centre, exposure of stricter primacy rules to DSOs to provide sufficient headroom to deal with uncertainty</w:t>
      </w:r>
      <w:r w:rsidR="00787EF7">
        <w:t xml:space="preserve"> in the provision of services and network capacity, higher cost of DFRs and lower number of service providers due to lack of market competition and transparency. These suboptimality conditions </w:t>
      </w:r>
      <w:r w:rsidR="00A516E9">
        <w:t xml:space="preserve">may increase the system costs </w:t>
      </w:r>
      <w:r w:rsidR="004344C3">
        <w:t xml:space="preserve">by </w:t>
      </w:r>
      <w:r w:rsidR="00A516E9">
        <w:t xml:space="preserve">up to £4.28bn/year. Therefore, </w:t>
      </w:r>
      <w:r w:rsidR="009A65AF">
        <w:t>Scheme 2 could be an option to derisk these conditions.</w:t>
      </w:r>
    </w:p>
    <w:p w14:paraId="799520B4" w14:textId="77777777" w:rsidR="00120B84" w:rsidRDefault="00120B84" w:rsidP="00120B84">
      <w:pPr>
        <w:pStyle w:val="BulletPoint1"/>
      </w:pPr>
      <w:r>
        <w:t>While the cost of improving the coordination has not been considered, the cost is likely to be lower than the benefits. Further detailed studies are recommended to understand what needs to be provided to enable such coordination and the associated costs.</w:t>
      </w:r>
    </w:p>
    <w:p w14:paraId="4EFDF30C" w14:textId="1810D717" w:rsidR="00B62479" w:rsidRDefault="00B62479" w:rsidP="00120B84">
      <w:pPr>
        <w:pStyle w:val="BulletPoint1"/>
      </w:pPr>
      <w:r>
        <w:t>Different coordination schemes will affect the energy system's investment and operational costs</w:t>
      </w:r>
      <w:r w:rsidR="00075E93">
        <w:t xml:space="preserve">. The impacts are </w:t>
      </w:r>
      <w:r w:rsidR="00C07F8C">
        <w:t xml:space="preserve">beyond </w:t>
      </w:r>
      <w:r w:rsidR="00F311FD">
        <w:t xml:space="preserve">the </w:t>
      </w:r>
      <w:r w:rsidR="00C07F8C">
        <w:t>electrical transmission and distribution</w:t>
      </w:r>
      <w:r w:rsidR="00D06D26">
        <w:t xml:space="preserve"> systems</w:t>
      </w:r>
      <w:r>
        <w:t>; therefore, it is crucial to decide carefully as it has long-term effects.</w:t>
      </w:r>
    </w:p>
    <w:p w14:paraId="55E7F2E1" w14:textId="7364D16B" w:rsidR="00120B84" w:rsidRDefault="00120B84" w:rsidP="00120B84">
      <w:pPr>
        <w:pStyle w:val="BulletPoint1"/>
      </w:pPr>
      <w:r>
        <w:t xml:space="preserve">The benefits of Schemes 1 and 2 are also higher in the </w:t>
      </w:r>
      <w:r w:rsidR="00637906">
        <w:t xml:space="preserve">FES 2022 </w:t>
      </w:r>
      <w:r w:rsidR="00F311FD">
        <w:t>"</w:t>
      </w:r>
      <w:r w:rsidR="002E5AD4">
        <w:t>System Transformation</w:t>
      </w:r>
      <w:r w:rsidR="00F311FD">
        <w:t>"</w:t>
      </w:r>
      <w:r w:rsidR="002E5AD4">
        <w:t xml:space="preserve"> scenario (</w:t>
      </w:r>
      <w:r w:rsidR="00637906">
        <w:t xml:space="preserve">note: the core scenario used in the study is based on </w:t>
      </w:r>
      <w:r w:rsidR="00F311FD">
        <w:t>"</w:t>
      </w:r>
      <w:r w:rsidR="00637906">
        <w:t>Leading the Way</w:t>
      </w:r>
      <w:r w:rsidR="00F311FD">
        <w:t>"</w:t>
      </w:r>
      <w:r w:rsidR="00637906">
        <w:t>)</w:t>
      </w:r>
      <w:r w:rsidR="004D5530">
        <w:t>,</w:t>
      </w:r>
      <w:r w:rsidR="002E5AD4">
        <w:t xml:space="preserve"> </w:t>
      </w:r>
      <w:r>
        <w:t>w</w:t>
      </w:r>
      <w:r w:rsidR="00E77976">
        <w:t>hich has a</w:t>
      </w:r>
      <w:r>
        <w:t xml:space="preserve"> higher energy demand and without demand response. Without demand response, the amount of electricity storage needed in the system to provide flexibility increases substantially, and most of them will be located at distribution as it can also be used to manage distribution network constraints. Hence, this increased distributed electricity storage will also increase ESO and DSO</w:t>
      </w:r>
      <w:r w:rsidR="0007436A">
        <w:t>'</w:t>
      </w:r>
      <w:r>
        <w:t xml:space="preserve">s operational challenges; therefore, stronger coordination will be needed. </w:t>
      </w:r>
    </w:p>
    <w:p w14:paraId="3E5D853E" w14:textId="5F2D0636" w:rsidR="00120B84" w:rsidRDefault="00120B84" w:rsidP="00120B84">
      <w:pPr>
        <w:pStyle w:val="BulletPoint1"/>
      </w:pPr>
      <w:r>
        <w:t>Other conditions</w:t>
      </w:r>
      <w:r w:rsidR="0007436A">
        <w:t>,</w:t>
      </w:r>
      <w:r>
        <w:t xml:space="preserve"> such as </w:t>
      </w:r>
      <w:r w:rsidR="0007436A">
        <w:t xml:space="preserve">the </w:t>
      </w:r>
      <w:r>
        <w:t>lower cost of wind</w:t>
      </w:r>
      <w:r w:rsidR="0007436A">
        <w:t>,</w:t>
      </w:r>
      <w:r>
        <w:t xml:space="preserve"> may also increase the need for coordination but not always occur in all cases we simulated. As </w:t>
      </w:r>
      <w:r w:rsidR="0007436A">
        <w:t xml:space="preserve">the </w:t>
      </w:r>
      <w:r>
        <w:t>wind is already very dominant in the core scenarios, increasing</w:t>
      </w:r>
      <w:r w:rsidR="0007436A">
        <w:t xml:space="preserve"> slightly</w:t>
      </w:r>
      <w:r>
        <w:t xml:space="preserve"> more wind due to its lower cost will not affect the system performance so much and the need for flexibility.</w:t>
      </w:r>
    </w:p>
    <w:p w14:paraId="65F71D29" w14:textId="43FA7A90" w:rsidR="00EE4026" w:rsidRDefault="00120B84" w:rsidP="00EE4026">
      <w:pPr>
        <w:pStyle w:val="BulletPoint1"/>
      </w:pPr>
      <w:r>
        <w:t>Higher distributed flexibility cost</w:t>
      </w:r>
      <w:r w:rsidR="0007436A">
        <w:t>s</w:t>
      </w:r>
      <w:r>
        <w:t xml:space="preserve"> may </w:t>
      </w:r>
      <w:r w:rsidR="0007436A">
        <w:t>slightly reduce</w:t>
      </w:r>
      <w:r>
        <w:t xml:space="preserve"> the case for improving coordination</w:t>
      </w:r>
      <w:r w:rsidR="0007436A">
        <w:t>,</w:t>
      </w:r>
      <w:r>
        <w:t xml:space="preserve"> but the impact is marginal</w:t>
      </w:r>
      <w:r w:rsidR="004344C3">
        <w:t>,</w:t>
      </w:r>
      <w:r>
        <w:t xml:space="preserve"> and the savings are still positive.</w:t>
      </w:r>
    </w:p>
    <w:p w14:paraId="4BE47934" w14:textId="1D7F1439" w:rsidR="00EE4026" w:rsidRDefault="00C74F65" w:rsidP="00390E22">
      <w:pPr>
        <w:rPr>
          <w:rFonts w:cs="Calibri"/>
        </w:rPr>
      </w:pPr>
      <w:r>
        <w:t xml:space="preserve">The studies also demonstrate that </w:t>
      </w:r>
      <w:r w:rsidR="007A4E3A">
        <w:t>DFRs will be distributed across the GB system</w:t>
      </w:r>
      <w:r w:rsidR="0040535B">
        <w:t>. Higher penetration of electricity storage can occur in the North</w:t>
      </w:r>
      <w:r w:rsidR="00CC3753">
        <w:t>ern</w:t>
      </w:r>
      <w:r w:rsidR="0040535B">
        <w:t xml:space="preserve"> GB </w:t>
      </w:r>
      <w:r w:rsidR="008277CA">
        <w:t xml:space="preserve">due to </w:t>
      </w:r>
      <w:proofErr w:type="gramStart"/>
      <w:r w:rsidR="008277CA">
        <w:t>high capacity</w:t>
      </w:r>
      <w:proofErr w:type="gramEnd"/>
      <w:r w:rsidR="008277CA">
        <w:t xml:space="preserve"> factors of offshore w</w:t>
      </w:r>
      <w:r w:rsidR="00CC3753">
        <w:t xml:space="preserve">ind in those areas </w:t>
      </w:r>
      <w:r w:rsidR="0040535B">
        <w:t xml:space="preserve">but </w:t>
      </w:r>
      <w:r w:rsidR="00396A68">
        <w:t>in general, both energy storage and demand response technologies will be spread across the GB. Therefore, ESO</w:t>
      </w:r>
      <w:r w:rsidR="00651EE1">
        <w:t xml:space="preserve"> – DSO coordination will be required across the GB system</w:t>
      </w:r>
      <w:r w:rsidR="008277CA">
        <w:t>.</w:t>
      </w:r>
      <w:r w:rsidR="00651EE1">
        <w:t xml:space="preserve"> </w:t>
      </w:r>
      <w:r w:rsidR="00EE4026">
        <w:br w:type="page"/>
      </w:r>
    </w:p>
    <w:sdt>
      <w:sdtPr>
        <w:rPr>
          <w:rFonts w:asciiTheme="minorHAnsi" w:eastAsiaTheme="minorHAnsi" w:hAnsiTheme="minorHAnsi" w:cstheme="minorBidi"/>
          <w:b w:val="0"/>
          <w:bCs w:val="0"/>
          <w:color w:val="auto"/>
          <w:sz w:val="22"/>
          <w:szCs w:val="22"/>
          <w:lang w:val="en-GB" w:eastAsia="en-US"/>
        </w:rPr>
        <w:id w:val="1011109350"/>
        <w:docPartObj>
          <w:docPartGallery w:val="Table of Contents"/>
          <w:docPartUnique/>
        </w:docPartObj>
      </w:sdtPr>
      <w:sdtEndPr/>
      <w:sdtContent>
        <w:p w14:paraId="4B9A0C18" w14:textId="0B30732F" w:rsidR="00D93764" w:rsidRPr="0056306A" w:rsidRDefault="00D93764" w:rsidP="0056306A">
          <w:pPr>
            <w:pStyle w:val="TOCHeading"/>
            <w:numPr>
              <w:ilvl w:val="0"/>
              <w:numId w:val="0"/>
            </w:numPr>
            <w:rPr>
              <w:rFonts w:asciiTheme="minorHAnsi" w:eastAsiaTheme="minorHAnsi" w:hAnsiTheme="minorHAnsi" w:cstheme="minorBidi"/>
              <w:b w:val="0"/>
              <w:bCs w:val="0"/>
              <w:color w:val="auto"/>
              <w:sz w:val="22"/>
              <w:szCs w:val="22"/>
              <w:lang w:val="en-GB" w:eastAsia="en-US"/>
            </w:rPr>
          </w:pPr>
          <w:r w:rsidRPr="0056306A">
            <w:rPr>
              <w:lang w:val="en-GB"/>
            </w:rPr>
            <w:t>Table of Contents</w:t>
          </w:r>
        </w:p>
        <w:p w14:paraId="7B7C5CD5" w14:textId="152D5433" w:rsidR="00A12641" w:rsidRDefault="00D93764">
          <w:pPr>
            <w:pStyle w:val="TOC1"/>
            <w:rPr>
              <w:rFonts w:asciiTheme="minorHAnsi" w:eastAsiaTheme="minorEastAsia" w:hAnsiTheme="minorHAnsi" w:cstheme="minorBidi"/>
              <w:b w:val="0"/>
              <w:noProof/>
              <w:lang w:eastAsia="en-GB"/>
            </w:rPr>
          </w:pPr>
          <w:r w:rsidRPr="0056306A">
            <w:fldChar w:fldCharType="begin"/>
          </w:r>
          <w:r w:rsidRPr="0056306A">
            <w:instrText xml:space="preserve"> TOC \o "1-3" \h \z \u </w:instrText>
          </w:r>
          <w:r w:rsidRPr="0056306A">
            <w:fldChar w:fldCharType="separate"/>
          </w:r>
          <w:hyperlink w:anchor="_Toc135829945" w:history="1">
            <w:r w:rsidR="00A12641" w:rsidRPr="00D852FD">
              <w:rPr>
                <w:rStyle w:val="Hyperlink"/>
                <w:noProof/>
              </w:rPr>
              <w:t>Executive Summary</w:t>
            </w:r>
            <w:r w:rsidR="00A12641">
              <w:rPr>
                <w:noProof/>
                <w:webHidden/>
              </w:rPr>
              <w:tab/>
            </w:r>
            <w:r w:rsidR="00A12641">
              <w:rPr>
                <w:noProof/>
                <w:webHidden/>
              </w:rPr>
              <w:fldChar w:fldCharType="begin"/>
            </w:r>
            <w:r w:rsidR="00A12641">
              <w:rPr>
                <w:noProof/>
                <w:webHidden/>
              </w:rPr>
              <w:instrText xml:space="preserve"> PAGEREF _Toc135829945 \h </w:instrText>
            </w:r>
            <w:r w:rsidR="00A12641">
              <w:rPr>
                <w:noProof/>
                <w:webHidden/>
              </w:rPr>
            </w:r>
            <w:r w:rsidR="00A12641">
              <w:rPr>
                <w:noProof/>
                <w:webHidden/>
              </w:rPr>
              <w:fldChar w:fldCharType="separate"/>
            </w:r>
            <w:r w:rsidR="00A12641">
              <w:rPr>
                <w:noProof/>
                <w:webHidden/>
              </w:rPr>
              <w:t>4</w:t>
            </w:r>
            <w:r w:rsidR="00A12641">
              <w:rPr>
                <w:noProof/>
                <w:webHidden/>
              </w:rPr>
              <w:fldChar w:fldCharType="end"/>
            </w:r>
          </w:hyperlink>
        </w:p>
        <w:p w14:paraId="6D024AEA" w14:textId="6EC79DF0" w:rsidR="00A12641" w:rsidRDefault="008D05CD">
          <w:pPr>
            <w:pStyle w:val="TOC1"/>
            <w:rPr>
              <w:rFonts w:asciiTheme="minorHAnsi" w:eastAsiaTheme="minorEastAsia" w:hAnsiTheme="minorHAnsi" w:cstheme="minorBidi"/>
              <w:b w:val="0"/>
              <w:noProof/>
              <w:lang w:eastAsia="en-GB"/>
            </w:rPr>
          </w:pPr>
          <w:hyperlink w:anchor="_Toc135829946" w:history="1">
            <w:r w:rsidR="00A12641" w:rsidRPr="00D852FD">
              <w:rPr>
                <w:rStyle w:val="Hyperlink"/>
                <w:noProof/>
              </w:rPr>
              <w:t>Abbreviations</w:t>
            </w:r>
            <w:r w:rsidR="00A12641">
              <w:rPr>
                <w:noProof/>
                <w:webHidden/>
              </w:rPr>
              <w:tab/>
            </w:r>
            <w:r w:rsidR="00A12641">
              <w:rPr>
                <w:noProof/>
                <w:webHidden/>
              </w:rPr>
              <w:fldChar w:fldCharType="begin"/>
            </w:r>
            <w:r w:rsidR="00A12641">
              <w:rPr>
                <w:noProof/>
                <w:webHidden/>
              </w:rPr>
              <w:instrText xml:space="preserve"> PAGEREF _Toc135829946 \h </w:instrText>
            </w:r>
            <w:r w:rsidR="00A12641">
              <w:rPr>
                <w:noProof/>
                <w:webHidden/>
              </w:rPr>
            </w:r>
            <w:r w:rsidR="00A12641">
              <w:rPr>
                <w:noProof/>
                <w:webHidden/>
              </w:rPr>
              <w:fldChar w:fldCharType="separate"/>
            </w:r>
            <w:r w:rsidR="00A12641">
              <w:rPr>
                <w:noProof/>
                <w:webHidden/>
              </w:rPr>
              <w:t>7</w:t>
            </w:r>
            <w:r w:rsidR="00A12641">
              <w:rPr>
                <w:noProof/>
                <w:webHidden/>
              </w:rPr>
              <w:fldChar w:fldCharType="end"/>
            </w:r>
          </w:hyperlink>
        </w:p>
        <w:p w14:paraId="0C00F6CF" w14:textId="7F37468D" w:rsidR="00A12641" w:rsidRDefault="008D05CD">
          <w:pPr>
            <w:pStyle w:val="TOC1"/>
            <w:rPr>
              <w:rFonts w:asciiTheme="minorHAnsi" w:eastAsiaTheme="minorEastAsia" w:hAnsiTheme="minorHAnsi" w:cstheme="minorBidi"/>
              <w:b w:val="0"/>
              <w:noProof/>
              <w:lang w:eastAsia="en-GB"/>
            </w:rPr>
          </w:pPr>
          <w:hyperlink w:anchor="_Toc135829947" w:history="1">
            <w:r w:rsidR="00A12641" w:rsidRPr="00D852FD">
              <w:rPr>
                <w:rStyle w:val="Hyperlink"/>
                <w:noProof/>
              </w:rPr>
              <w:t>Chapter 1.</w:t>
            </w:r>
            <w:r w:rsidR="00A12641">
              <w:rPr>
                <w:rFonts w:asciiTheme="minorHAnsi" w:eastAsiaTheme="minorEastAsia" w:hAnsiTheme="minorHAnsi" w:cstheme="minorBidi"/>
                <w:b w:val="0"/>
                <w:noProof/>
                <w:lang w:eastAsia="en-GB"/>
              </w:rPr>
              <w:tab/>
            </w:r>
            <w:r w:rsidR="00A12641" w:rsidRPr="00D852FD">
              <w:rPr>
                <w:rStyle w:val="Hyperlink"/>
                <w:noProof/>
              </w:rPr>
              <w:t>Introduction</w:t>
            </w:r>
            <w:r w:rsidR="00A12641">
              <w:rPr>
                <w:noProof/>
                <w:webHidden/>
              </w:rPr>
              <w:tab/>
            </w:r>
            <w:r w:rsidR="00A12641">
              <w:rPr>
                <w:noProof/>
                <w:webHidden/>
              </w:rPr>
              <w:fldChar w:fldCharType="begin"/>
            </w:r>
            <w:r w:rsidR="00A12641">
              <w:rPr>
                <w:noProof/>
                <w:webHidden/>
              </w:rPr>
              <w:instrText xml:space="preserve"> PAGEREF _Toc135829947 \h </w:instrText>
            </w:r>
            <w:r w:rsidR="00A12641">
              <w:rPr>
                <w:noProof/>
                <w:webHidden/>
              </w:rPr>
            </w:r>
            <w:r w:rsidR="00A12641">
              <w:rPr>
                <w:noProof/>
                <w:webHidden/>
              </w:rPr>
              <w:fldChar w:fldCharType="separate"/>
            </w:r>
            <w:r w:rsidR="00A12641">
              <w:rPr>
                <w:noProof/>
                <w:webHidden/>
              </w:rPr>
              <w:t>8</w:t>
            </w:r>
            <w:r w:rsidR="00A12641">
              <w:rPr>
                <w:noProof/>
                <w:webHidden/>
              </w:rPr>
              <w:fldChar w:fldCharType="end"/>
            </w:r>
          </w:hyperlink>
        </w:p>
        <w:p w14:paraId="1C092A29" w14:textId="6A22C9CC" w:rsidR="00A12641" w:rsidRDefault="008D05CD">
          <w:pPr>
            <w:pStyle w:val="TOC2"/>
            <w:rPr>
              <w:rFonts w:asciiTheme="minorHAnsi" w:eastAsiaTheme="minorEastAsia" w:hAnsiTheme="minorHAnsi" w:cstheme="minorBidi"/>
              <w:noProof/>
              <w:lang w:eastAsia="en-GB"/>
            </w:rPr>
          </w:pPr>
          <w:hyperlink w:anchor="_Toc135829948" w:history="1">
            <w:r w:rsidR="00A12641" w:rsidRPr="00D852FD">
              <w:rPr>
                <w:rStyle w:val="Hyperlink"/>
                <w:noProof/>
              </w:rPr>
              <w:t>1.1</w:t>
            </w:r>
            <w:r w:rsidR="00A12641">
              <w:rPr>
                <w:rFonts w:asciiTheme="minorHAnsi" w:eastAsiaTheme="minorEastAsia" w:hAnsiTheme="minorHAnsi" w:cstheme="minorBidi"/>
                <w:noProof/>
                <w:lang w:eastAsia="en-GB"/>
              </w:rPr>
              <w:tab/>
            </w:r>
            <w:r w:rsidR="00A12641" w:rsidRPr="00D852FD">
              <w:rPr>
                <w:rStyle w:val="Hyperlink"/>
                <w:noProof/>
              </w:rPr>
              <w:t>Background</w:t>
            </w:r>
            <w:r w:rsidR="00A12641">
              <w:rPr>
                <w:noProof/>
                <w:webHidden/>
              </w:rPr>
              <w:tab/>
            </w:r>
            <w:r w:rsidR="00A12641">
              <w:rPr>
                <w:noProof/>
                <w:webHidden/>
              </w:rPr>
              <w:fldChar w:fldCharType="begin"/>
            </w:r>
            <w:r w:rsidR="00A12641">
              <w:rPr>
                <w:noProof/>
                <w:webHidden/>
              </w:rPr>
              <w:instrText xml:space="preserve"> PAGEREF _Toc135829948 \h </w:instrText>
            </w:r>
            <w:r w:rsidR="00A12641">
              <w:rPr>
                <w:noProof/>
                <w:webHidden/>
              </w:rPr>
            </w:r>
            <w:r w:rsidR="00A12641">
              <w:rPr>
                <w:noProof/>
                <w:webHidden/>
              </w:rPr>
              <w:fldChar w:fldCharType="separate"/>
            </w:r>
            <w:r w:rsidR="00A12641">
              <w:rPr>
                <w:noProof/>
                <w:webHidden/>
              </w:rPr>
              <w:t>8</w:t>
            </w:r>
            <w:r w:rsidR="00A12641">
              <w:rPr>
                <w:noProof/>
                <w:webHidden/>
              </w:rPr>
              <w:fldChar w:fldCharType="end"/>
            </w:r>
          </w:hyperlink>
        </w:p>
        <w:p w14:paraId="26A31AE6" w14:textId="065B3780" w:rsidR="00A12641" w:rsidRDefault="008D05CD">
          <w:pPr>
            <w:pStyle w:val="TOC2"/>
            <w:rPr>
              <w:rFonts w:asciiTheme="minorHAnsi" w:eastAsiaTheme="minorEastAsia" w:hAnsiTheme="minorHAnsi" w:cstheme="minorBidi"/>
              <w:noProof/>
              <w:lang w:eastAsia="en-GB"/>
            </w:rPr>
          </w:pPr>
          <w:hyperlink w:anchor="_Toc135829949" w:history="1">
            <w:r w:rsidR="00A12641" w:rsidRPr="00D852FD">
              <w:rPr>
                <w:rStyle w:val="Hyperlink"/>
                <w:noProof/>
              </w:rPr>
              <w:t>1.2</w:t>
            </w:r>
            <w:r w:rsidR="00A12641">
              <w:rPr>
                <w:rFonts w:asciiTheme="minorHAnsi" w:eastAsiaTheme="minorEastAsia" w:hAnsiTheme="minorHAnsi" w:cstheme="minorBidi"/>
                <w:noProof/>
                <w:lang w:eastAsia="en-GB"/>
              </w:rPr>
              <w:tab/>
            </w:r>
            <w:r w:rsidR="00A12641" w:rsidRPr="00D852FD">
              <w:rPr>
                <w:rStyle w:val="Hyperlink"/>
                <w:noProof/>
              </w:rPr>
              <w:t>Objectives</w:t>
            </w:r>
            <w:r w:rsidR="00A12641">
              <w:rPr>
                <w:noProof/>
                <w:webHidden/>
              </w:rPr>
              <w:tab/>
            </w:r>
            <w:r w:rsidR="00A12641">
              <w:rPr>
                <w:noProof/>
                <w:webHidden/>
              </w:rPr>
              <w:fldChar w:fldCharType="begin"/>
            </w:r>
            <w:r w:rsidR="00A12641">
              <w:rPr>
                <w:noProof/>
                <w:webHidden/>
              </w:rPr>
              <w:instrText xml:space="preserve"> PAGEREF _Toc135829949 \h </w:instrText>
            </w:r>
            <w:r w:rsidR="00A12641">
              <w:rPr>
                <w:noProof/>
                <w:webHidden/>
              </w:rPr>
            </w:r>
            <w:r w:rsidR="00A12641">
              <w:rPr>
                <w:noProof/>
                <w:webHidden/>
              </w:rPr>
              <w:fldChar w:fldCharType="separate"/>
            </w:r>
            <w:r w:rsidR="00A12641">
              <w:rPr>
                <w:noProof/>
                <w:webHidden/>
              </w:rPr>
              <w:t>9</w:t>
            </w:r>
            <w:r w:rsidR="00A12641">
              <w:rPr>
                <w:noProof/>
                <w:webHidden/>
              </w:rPr>
              <w:fldChar w:fldCharType="end"/>
            </w:r>
          </w:hyperlink>
        </w:p>
        <w:p w14:paraId="5A4B9F47" w14:textId="50EDB413" w:rsidR="00A12641" w:rsidRDefault="008D05CD">
          <w:pPr>
            <w:pStyle w:val="TOC2"/>
            <w:rPr>
              <w:rFonts w:asciiTheme="minorHAnsi" w:eastAsiaTheme="minorEastAsia" w:hAnsiTheme="minorHAnsi" w:cstheme="minorBidi"/>
              <w:noProof/>
              <w:lang w:eastAsia="en-GB"/>
            </w:rPr>
          </w:pPr>
          <w:hyperlink w:anchor="_Toc135829950" w:history="1">
            <w:r w:rsidR="00A12641" w:rsidRPr="00D852FD">
              <w:rPr>
                <w:rStyle w:val="Hyperlink"/>
                <w:noProof/>
              </w:rPr>
              <w:t>1.3</w:t>
            </w:r>
            <w:r w:rsidR="00A12641">
              <w:rPr>
                <w:rFonts w:asciiTheme="minorHAnsi" w:eastAsiaTheme="minorEastAsia" w:hAnsiTheme="minorHAnsi" w:cstheme="minorBidi"/>
                <w:noProof/>
                <w:lang w:eastAsia="en-GB"/>
              </w:rPr>
              <w:tab/>
            </w:r>
            <w:r w:rsidR="00A12641" w:rsidRPr="00D852FD">
              <w:rPr>
                <w:rStyle w:val="Hyperlink"/>
                <w:noProof/>
              </w:rPr>
              <w:t>Summary of case studies</w:t>
            </w:r>
            <w:r w:rsidR="00A12641">
              <w:rPr>
                <w:noProof/>
                <w:webHidden/>
              </w:rPr>
              <w:tab/>
            </w:r>
            <w:r w:rsidR="00A12641">
              <w:rPr>
                <w:noProof/>
                <w:webHidden/>
              </w:rPr>
              <w:fldChar w:fldCharType="begin"/>
            </w:r>
            <w:r w:rsidR="00A12641">
              <w:rPr>
                <w:noProof/>
                <w:webHidden/>
              </w:rPr>
              <w:instrText xml:space="preserve"> PAGEREF _Toc135829950 \h </w:instrText>
            </w:r>
            <w:r w:rsidR="00A12641">
              <w:rPr>
                <w:noProof/>
                <w:webHidden/>
              </w:rPr>
            </w:r>
            <w:r w:rsidR="00A12641">
              <w:rPr>
                <w:noProof/>
                <w:webHidden/>
              </w:rPr>
              <w:fldChar w:fldCharType="separate"/>
            </w:r>
            <w:r w:rsidR="00A12641">
              <w:rPr>
                <w:noProof/>
                <w:webHidden/>
              </w:rPr>
              <w:t>9</w:t>
            </w:r>
            <w:r w:rsidR="00A12641">
              <w:rPr>
                <w:noProof/>
                <w:webHidden/>
              </w:rPr>
              <w:fldChar w:fldCharType="end"/>
            </w:r>
          </w:hyperlink>
        </w:p>
        <w:p w14:paraId="222A49B3" w14:textId="4B78318A" w:rsidR="00A12641" w:rsidRDefault="008D05CD">
          <w:pPr>
            <w:pStyle w:val="TOC3"/>
            <w:rPr>
              <w:rFonts w:asciiTheme="minorHAnsi" w:eastAsiaTheme="minorEastAsia" w:hAnsiTheme="minorHAnsi" w:cstheme="minorBidi"/>
              <w:i w:val="0"/>
              <w:noProof/>
              <w:lang w:eastAsia="en-GB"/>
            </w:rPr>
          </w:pPr>
          <w:hyperlink w:anchor="_Toc135829951" w:history="1">
            <w:r w:rsidR="00A12641" w:rsidRPr="00D852FD">
              <w:rPr>
                <w:rStyle w:val="Hyperlink"/>
                <w:noProof/>
              </w:rPr>
              <w:t>1.3.1</w:t>
            </w:r>
            <w:r w:rsidR="00A12641">
              <w:rPr>
                <w:rFonts w:asciiTheme="minorHAnsi" w:eastAsiaTheme="minorEastAsia" w:hAnsiTheme="minorHAnsi" w:cstheme="minorBidi"/>
                <w:i w:val="0"/>
                <w:noProof/>
                <w:lang w:eastAsia="en-GB"/>
              </w:rPr>
              <w:tab/>
            </w:r>
            <w:r w:rsidR="00A12641" w:rsidRPr="00D852FD">
              <w:rPr>
                <w:rStyle w:val="Hyperlink"/>
                <w:noProof/>
              </w:rPr>
              <w:t>Business-as-Usual as the Counterfactual</w:t>
            </w:r>
            <w:r w:rsidR="00A12641">
              <w:rPr>
                <w:noProof/>
                <w:webHidden/>
              </w:rPr>
              <w:tab/>
            </w:r>
            <w:r w:rsidR="00A12641">
              <w:rPr>
                <w:noProof/>
                <w:webHidden/>
              </w:rPr>
              <w:fldChar w:fldCharType="begin"/>
            </w:r>
            <w:r w:rsidR="00A12641">
              <w:rPr>
                <w:noProof/>
                <w:webHidden/>
              </w:rPr>
              <w:instrText xml:space="preserve"> PAGEREF _Toc135829951 \h </w:instrText>
            </w:r>
            <w:r w:rsidR="00A12641">
              <w:rPr>
                <w:noProof/>
                <w:webHidden/>
              </w:rPr>
            </w:r>
            <w:r w:rsidR="00A12641">
              <w:rPr>
                <w:noProof/>
                <w:webHidden/>
              </w:rPr>
              <w:fldChar w:fldCharType="separate"/>
            </w:r>
            <w:r w:rsidR="00A12641">
              <w:rPr>
                <w:noProof/>
                <w:webHidden/>
              </w:rPr>
              <w:t>10</w:t>
            </w:r>
            <w:r w:rsidR="00A12641">
              <w:rPr>
                <w:noProof/>
                <w:webHidden/>
              </w:rPr>
              <w:fldChar w:fldCharType="end"/>
            </w:r>
          </w:hyperlink>
        </w:p>
        <w:p w14:paraId="4B5A28E0" w14:textId="3BF28DC0" w:rsidR="00A12641" w:rsidRDefault="008D05CD">
          <w:pPr>
            <w:pStyle w:val="TOC3"/>
            <w:rPr>
              <w:rFonts w:asciiTheme="minorHAnsi" w:eastAsiaTheme="minorEastAsia" w:hAnsiTheme="minorHAnsi" w:cstheme="minorBidi"/>
              <w:i w:val="0"/>
              <w:noProof/>
              <w:lang w:eastAsia="en-GB"/>
            </w:rPr>
          </w:pPr>
          <w:hyperlink w:anchor="_Toc135829952" w:history="1">
            <w:r w:rsidR="00A12641" w:rsidRPr="00D852FD">
              <w:rPr>
                <w:rStyle w:val="Hyperlink"/>
                <w:noProof/>
              </w:rPr>
              <w:t>1.3.2</w:t>
            </w:r>
            <w:r w:rsidR="00A12641">
              <w:rPr>
                <w:rFonts w:asciiTheme="minorHAnsi" w:eastAsiaTheme="minorEastAsia" w:hAnsiTheme="minorHAnsi" w:cstheme="minorBidi"/>
                <w:i w:val="0"/>
                <w:noProof/>
                <w:lang w:eastAsia="en-GB"/>
              </w:rPr>
              <w:tab/>
            </w:r>
            <w:r w:rsidR="00A12641" w:rsidRPr="00D852FD">
              <w:rPr>
                <w:rStyle w:val="Hyperlink"/>
                <w:noProof/>
              </w:rPr>
              <w:t>Scheme 1: Enhanced Coordination</w:t>
            </w:r>
            <w:r w:rsidR="00A12641">
              <w:rPr>
                <w:noProof/>
                <w:webHidden/>
              </w:rPr>
              <w:tab/>
            </w:r>
            <w:r w:rsidR="00A12641">
              <w:rPr>
                <w:noProof/>
                <w:webHidden/>
              </w:rPr>
              <w:fldChar w:fldCharType="begin"/>
            </w:r>
            <w:r w:rsidR="00A12641">
              <w:rPr>
                <w:noProof/>
                <w:webHidden/>
              </w:rPr>
              <w:instrText xml:space="preserve"> PAGEREF _Toc135829952 \h </w:instrText>
            </w:r>
            <w:r w:rsidR="00A12641">
              <w:rPr>
                <w:noProof/>
                <w:webHidden/>
              </w:rPr>
            </w:r>
            <w:r w:rsidR="00A12641">
              <w:rPr>
                <w:noProof/>
                <w:webHidden/>
              </w:rPr>
              <w:fldChar w:fldCharType="separate"/>
            </w:r>
            <w:r w:rsidR="00A12641">
              <w:rPr>
                <w:noProof/>
                <w:webHidden/>
              </w:rPr>
              <w:t>11</w:t>
            </w:r>
            <w:r w:rsidR="00A12641">
              <w:rPr>
                <w:noProof/>
                <w:webHidden/>
              </w:rPr>
              <w:fldChar w:fldCharType="end"/>
            </w:r>
          </w:hyperlink>
        </w:p>
        <w:p w14:paraId="5CDEF2D7" w14:textId="59587128" w:rsidR="00A12641" w:rsidRDefault="008D05CD">
          <w:pPr>
            <w:pStyle w:val="TOC3"/>
            <w:rPr>
              <w:rFonts w:asciiTheme="minorHAnsi" w:eastAsiaTheme="minorEastAsia" w:hAnsiTheme="minorHAnsi" w:cstheme="minorBidi"/>
              <w:i w:val="0"/>
              <w:noProof/>
              <w:lang w:eastAsia="en-GB"/>
            </w:rPr>
          </w:pPr>
          <w:hyperlink w:anchor="_Toc135829953" w:history="1">
            <w:r w:rsidR="00A12641" w:rsidRPr="00D852FD">
              <w:rPr>
                <w:rStyle w:val="Hyperlink"/>
                <w:noProof/>
              </w:rPr>
              <w:t>1.3.3</w:t>
            </w:r>
            <w:r w:rsidR="00A12641">
              <w:rPr>
                <w:rFonts w:asciiTheme="minorHAnsi" w:eastAsiaTheme="minorEastAsia" w:hAnsiTheme="minorHAnsi" w:cstheme="minorBidi"/>
                <w:i w:val="0"/>
                <w:noProof/>
                <w:lang w:eastAsia="en-GB"/>
              </w:rPr>
              <w:tab/>
            </w:r>
            <w:r w:rsidR="00A12641" w:rsidRPr="00D852FD">
              <w:rPr>
                <w:rStyle w:val="Hyperlink"/>
                <w:noProof/>
              </w:rPr>
              <w:t>Scheme 2: Distributed Flexibility Coordinator</w:t>
            </w:r>
            <w:r w:rsidR="00A12641">
              <w:rPr>
                <w:noProof/>
                <w:webHidden/>
              </w:rPr>
              <w:tab/>
            </w:r>
            <w:r w:rsidR="00A12641">
              <w:rPr>
                <w:noProof/>
                <w:webHidden/>
              </w:rPr>
              <w:fldChar w:fldCharType="begin"/>
            </w:r>
            <w:r w:rsidR="00A12641">
              <w:rPr>
                <w:noProof/>
                <w:webHidden/>
              </w:rPr>
              <w:instrText xml:space="preserve"> PAGEREF _Toc135829953 \h </w:instrText>
            </w:r>
            <w:r w:rsidR="00A12641">
              <w:rPr>
                <w:noProof/>
                <w:webHidden/>
              </w:rPr>
            </w:r>
            <w:r w:rsidR="00A12641">
              <w:rPr>
                <w:noProof/>
                <w:webHidden/>
              </w:rPr>
              <w:fldChar w:fldCharType="separate"/>
            </w:r>
            <w:r w:rsidR="00A12641">
              <w:rPr>
                <w:noProof/>
                <w:webHidden/>
              </w:rPr>
              <w:t>12</w:t>
            </w:r>
            <w:r w:rsidR="00A12641">
              <w:rPr>
                <w:noProof/>
                <w:webHidden/>
              </w:rPr>
              <w:fldChar w:fldCharType="end"/>
            </w:r>
          </w:hyperlink>
        </w:p>
        <w:p w14:paraId="7016F74C" w14:textId="2F5D11E8" w:rsidR="00A12641" w:rsidRDefault="008D05CD">
          <w:pPr>
            <w:pStyle w:val="TOC3"/>
            <w:rPr>
              <w:rFonts w:asciiTheme="minorHAnsi" w:eastAsiaTheme="minorEastAsia" w:hAnsiTheme="minorHAnsi" w:cstheme="minorBidi"/>
              <w:i w:val="0"/>
              <w:noProof/>
              <w:lang w:eastAsia="en-GB"/>
            </w:rPr>
          </w:pPr>
          <w:hyperlink w:anchor="_Toc135829954" w:history="1">
            <w:r w:rsidR="00A12641" w:rsidRPr="00D852FD">
              <w:rPr>
                <w:rStyle w:val="Hyperlink"/>
                <w:noProof/>
              </w:rPr>
              <w:t>1.3.4</w:t>
            </w:r>
            <w:r w:rsidR="00A12641">
              <w:rPr>
                <w:rFonts w:asciiTheme="minorHAnsi" w:eastAsiaTheme="minorEastAsia" w:hAnsiTheme="minorHAnsi" w:cstheme="minorBidi"/>
                <w:i w:val="0"/>
                <w:noProof/>
                <w:lang w:eastAsia="en-GB"/>
              </w:rPr>
              <w:tab/>
            </w:r>
            <w:r w:rsidR="00A12641" w:rsidRPr="00D852FD">
              <w:rPr>
                <w:rStyle w:val="Hyperlink"/>
                <w:noProof/>
              </w:rPr>
              <w:t>Core study scenarios</w:t>
            </w:r>
            <w:r w:rsidR="00A12641">
              <w:rPr>
                <w:noProof/>
                <w:webHidden/>
              </w:rPr>
              <w:tab/>
            </w:r>
            <w:r w:rsidR="00A12641">
              <w:rPr>
                <w:noProof/>
                <w:webHidden/>
              </w:rPr>
              <w:fldChar w:fldCharType="begin"/>
            </w:r>
            <w:r w:rsidR="00A12641">
              <w:rPr>
                <w:noProof/>
                <w:webHidden/>
              </w:rPr>
              <w:instrText xml:space="preserve"> PAGEREF _Toc135829954 \h </w:instrText>
            </w:r>
            <w:r w:rsidR="00A12641">
              <w:rPr>
                <w:noProof/>
                <w:webHidden/>
              </w:rPr>
            </w:r>
            <w:r w:rsidR="00A12641">
              <w:rPr>
                <w:noProof/>
                <w:webHidden/>
              </w:rPr>
              <w:fldChar w:fldCharType="separate"/>
            </w:r>
            <w:r w:rsidR="00A12641">
              <w:rPr>
                <w:noProof/>
                <w:webHidden/>
              </w:rPr>
              <w:t>13</w:t>
            </w:r>
            <w:r w:rsidR="00A12641">
              <w:rPr>
                <w:noProof/>
                <w:webHidden/>
              </w:rPr>
              <w:fldChar w:fldCharType="end"/>
            </w:r>
          </w:hyperlink>
        </w:p>
        <w:p w14:paraId="3C1A0C9B" w14:textId="3E87E43E" w:rsidR="00A12641" w:rsidRDefault="008D05CD">
          <w:pPr>
            <w:pStyle w:val="TOC2"/>
            <w:rPr>
              <w:rFonts w:asciiTheme="minorHAnsi" w:eastAsiaTheme="minorEastAsia" w:hAnsiTheme="minorHAnsi" w:cstheme="minorBidi"/>
              <w:noProof/>
              <w:lang w:eastAsia="en-GB"/>
            </w:rPr>
          </w:pPr>
          <w:hyperlink w:anchor="_Toc135829955" w:history="1">
            <w:r w:rsidR="00A12641" w:rsidRPr="00D852FD">
              <w:rPr>
                <w:rStyle w:val="Hyperlink"/>
                <w:noProof/>
              </w:rPr>
              <w:t>1.4</w:t>
            </w:r>
            <w:r w:rsidR="00A12641">
              <w:rPr>
                <w:rFonts w:asciiTheme="minorHAnsi" w:eastAsiaTheme="minorEastAsia" w:hAnsiTheme="minorHAnsi" w:cstheme="minorBidi"/>
                <w:noProof/>
                <w:lang w:eastAsia="en-GB"/>
              </w:rPr>
              <w:tab/>
            </w:r>
            <w:r w:rsidR="00A12641" w:rsidRPr="00D852FD">
              <w:rPr>
                <w:rStyle w:val="Hyperlink"/>
                <w:noProof/>
              </w:rPr>
              <w:t>Summary of the approach</w:t>
            </w:r>
            <w:r w:rsidR="00A12641">
              <w:rPr>
                <w:noProof/>
                <w:webHidden/>
              </w:rPr>
              <w:tab/>
            </w:r>
            <w:r w:rsidR="00A12641">
              <w:rPr>
                <w:noProof/>
                <w:webHidden/>
              </w:rPr>
              <w:fldChar w:fldCharType="begin"/>
            </w:r>
            <w:r w:rsidR="00A12641">
              <w:rPr>
                <w:noProof/>
                <w:webHidden/>
              </w:rPr>
              <w:instrText xml:space="preserve"> PAGEREF _Toc135829955 \h </w:instrText>
            </w:r>
            <w:r w:rsidR="00A12641">
              <w:rPr>
                <w:noProof/>
                <w:webHidden/>
              </w:rPr>
            </w:r>
            <w:r w:rsidR="00A12641">
              <w:rPr>
                <w:noProof/>
                <w:webHidden/>
              </w:rPr>
              <w:fldChar w:fldCharType="separate"/>
            </w:r>
            <w:r w:rsidR="00A12641">
              <w:rPr>
                <w:noProof/>
                <w:webHidden/>
              </w:rPr>
              <w:t>14</w:t>
            </w:r>
            <w:r w:rsidR="00A12641">
              <w:rPr>
                <w:noProof/>
                <w:webHidden/>
              </w:rPr>
              <w:fldChar w:fldCharType="end"/>
            </w:r>
          </w:hyperlink>
        </w:p>
        <w:p w14:paraId="4E6262A9" w14:textId="6928BF15" w:rsidR="00A12641" w:rsidRDefault="008D05CD">
          <w:pPr>
            <w:pStyle w:val="TOC1"/>
            <w:rPr>
              <w:rFonts w:asciiTheme="minorHAnsi" w:eastAsiaTheme="minorEastAsia" w:hAnsiTheme="minorHAnsi" w:cstheme="minorBidi"/>
              <w:b w:val="0"/>
              <w:noProof/>
              <w:lang w:eastAsia="en-GB"/>
            </w:rPr>
          </w:pPr>
          <w:hyperlink w:anchor="_Toc135829956" w:history="1">
            <w:r w:rsidR="00A12641" w:rsidRPr="00D852FD">
              <w:rPr>
                <w:rStyle w:val="Hyperlink"/>
                <w:noProof/>
              </w:rPr>
              <w:t>Chapter 2.</w:t>
            </w:r>
            <w:r w:rsidR="00A12641">
              <w:rPr>
                <w:rFonts w:asciiTheme="minorHAnsi" w:eastAsiaTheme="minorEastAsia" w:hAnsiTheme="minorHAnsi" w:cstheme="minorBidi"/>
                <w:b w:val="0"/>
                <w:noProof/>
                <w:lang w:eastAsia="en-GB"/>
              </w:rPr>
              <w:tab/>
            </w:r>
            <w:r w:rsidR="00A12641" w:rsidRPr="00D852FD">
              <w:rPr>
                <w:rStyle w:val="Hyperlink"/>
                <w:noProof/>
              </w:rPr>
              <w:t>System Benefits of Alternative ESO-DSO Coordination Schemes</w:t>
            </w:r>
            <w:r w:rsidR="00A12641">
              <w:rPr>
                <w:noProof/>
                <w:webHidden/>
              </w:rPr>
              <w:tab/>
            </w:r>
            <w:r w:rsidR="00A12641">
              <w:rPr>
                <w:noProof/>
                <w:webHidden/>
              </w:rPr>
              <w:fldChar w:fldCharType="begin"/>
            </w:r>
            <w:r w:rsidR="00A12641">
              <w:rPr>
                <w:noProof/>
                <w:webHidden/>
              </w:rPr>
              <w:instrText xml:space="preserve"> PAGEREF _Toc135829956 \h </w:instrText>
            </w:r>
            <w:r w:rsidR="00A12641">
              <w:rPr>
                <w:noProof/>
                <w:webHidden/>
              </w:rPr>
            </w:r>
            <w:r w:rsidR="00A12641">
              <w:rPr>
                <w:noProof/>
                <w:webHidden/>
              </w:rPr>
              <w:fldChar w:fldCharType="separate"/>
            </w:r>
            <w:r w:rsidR="00A12641">
              <w:rPr>
                <w:noProof/>
                <w:webHidden/>
              </w:rPr>
              <w:t>17</w:t>
            </w:r>
            <w:r w:rsidR="00A12641">
              <w:rPr>
                <w:noProof/>
                <w:webHidden/>
              </w:rPr>
              <w:fldChar w:fldCharType="end"/>
            </w:r>
          </w:hyperlink>
        </w:p>
        <w:p w14:paraId="2F6FCAC2" w14:textId="6E52B06C" w:rsidR="00A12641" w:rsidRDefault="008D05CD">
          <w:pPr>
            <w:pStyle w:val="TOC2"/>
            <w:rPr>
              <w:rFonts w:asciiTheme="minorHAnsi" w:eastAsiaTheme="minorEastAsia" w:hAnsiTheme="minorHAnsi" w:cstheme="minorBidi"/>
              <w:noProof/>
              <w:lang w:eastAsia="en-GB"/>
            </w:rPr>
          </w:pPr>
          <w:hyperlink w:anchor="_Toc135829957" w:history="1">
            <w:r w:rsidR="00A12641" w:rsidRPr="00D852FD">
              <w:rPr>
                <w:rStyle w:val="Hyperlink"/>
                <w:noProof/>
              </w:rPr>
              <w:t>2.1</w:t>
            </w:r>
            <w:r w:rsidR="00A12641">
              <w:rPr>
                <w:rFonts w:asciiTheme="minorHAnsi" w:eastAsiaTheme="minorEastAsia" w:hAnsiTheme="minorHAnsi" w:cstheme="minorBidi"/>
                <w:noProof/>
                <w:lang w:eastAsia="en-GB"/>
              </w:rPr>
              <w:tab/>
            </w:r>
            <w:r w:rsidR="00A12641" w:rsidRPr="00D852FD">
              <w:rPr>
                <w:rStyle w:val="Hyperlink"/>
                <w:noProof/>
              </w:rPr>
              <w:t>Annual system cost performance</w:t>
            </w:r>
            <w:r w:rsidR="00A12641">
              <w:rPr>
                <w:noProof/>
                <w:webHidden/>
              </w:rPr>
              <w:tab/>
            </w:r>
            <w:r w:rsidR="00A12641">
              <w:rPr>
                <w:noProof/>
                <w:webHidden/>
              </w:rPr>
              <w:fldChar w:fldCharType="begin"/>
            </w:r>
            <w:r w:rsidR="00A12641">
              <w:rPr>
                <w:noProof/>
                <w:webHidden/>
              </w:rPr>
              <w:instrText xml:space="preserve"> PAGEREF _Toc135829957 \h </w:instrText>
            </w:r>
            <w:r w:rsidR="00A12641">
              <w:rPr>
                <w:noProof/>
                <w:webHidden/>
              </w:rPr>
            </w:r>
            <w:r w:rsidR="00A12641">
              <w:rPr>
                <w:noProof/>
                <w:webHidden/>
              </w:rPr>
              <w:fldChar w:fldCharType="separate"/>
            </w:r>
            <w:r w:rsidR="00A12641">
              <w:rPr>
                <w:noProof/>
                <w:webHidden/>
              </w:rPr>
              <w:t>17</w:t>
            </w:r>
            <w:r w:rsidR="00A12641">
              <w:rPr>
                <w:noProof/>
                <w:webHidden/>
              </w:rPr>
              <w:fldChar w:fldCharType="end"/>
            </w:r>
          </w:hyperlink>
        </w:p>
        <w:p w14:paraId="6EC23463" w14:textId="7E6FE31D" w:rsidR="00A12641" w:rsidRDefault="008D05CD">
          <w:pPr>
            <w:pStyle w:val="TOC2"/>
            <w:rPr>
              <w:rFonts w:asciiTheme="minorHAnsi" w:eastAsiaTheme="minorEastAsia" w:hAnsiTheme="minorHAnsi" w:cstheme="minorBidi"/>
              <w:noProof/>
              <w:lang w:eastAsia="en-GB"/>
            </w:rPr>
          </w:pPr>
          <w:hyperlink w:anchor="_Toc135829958" w:history="1">
            <w:r w:rsidR="00A12641" w:rsidRPr="00D852FD">
              <w:rPr>
                <w:rStyle w:val="Hyperlink"/>
                <w:noProof/>
              </w:rPr>
              <w:t>2.2</w:t>
            </w:r>
            <w:r w:rsidR="00A12641">
              <w:rPr>
                <w:rFonts w:asciiTheme="minorHAnsi" w:eastAsiaTheme="minorEastAsia" w:hAnsiTheme="minorHAnsi" w:cstheme="minorBidi"/>
                <w:noProof/>
                <w:lang w:eastAsia="en-GB"/>
              </w:rPr>
              <w:tab/>
            </w:r>
            <w:r w:rsidR="00A12641" w:rsidRPr="00D852FD">
              <w:rPr>
                <w:rStyle w:val="Hyperlink"/>
                <w:noProof/>
              </w:rPr>
              <w:t>System benefits of improving coordination schemes</w:t>
            </w:r>
            <w:r w:rsidR="00A12641">
              <w:rPr>
                <w:noProof/>
                <w:webHidden/>
              </w:rPr>
              <w:tab/>
            </w:r>
            <w:r w:rsidR="00A12641">
              <w:rPr>
                <w:noProof/>
                <w:webHidden/>
              </w:rPr>
              <w:fldChar w:fldCharType="begin"/>
            </w:r>
            <w:r w:rsidR="00A12641">
              <w:rPr>
                <w:noProof/>
                <w:webHidden/>
              </w:rPr>
              <w:instrText xml:space="preserve"> PAGEREF _Toc135829958 \h </w:instrText>
            </w:r>
            <w:r w:rsidR="00A12641">
              <w:rPr>
                <w:noProof/>
                <w:webHidden/>
              </w:rPr>
            </w:r>
            <w:r w:rsidR="00A12641">
              <w:rPr>
                <w:noProof/>
                <w:webHidden/>
              </w:rPr>
              <w:fldChar w:fldCharType="separate"/>
            </w:r>
            <w:r w:rsidR="00A12641">
              <w:rPr>
                <w:noProof/>
                <w:webHidden/>
              </w:rPr>
              <w:t>19</w:t>
            </w:r>
            <w:r w:rsidR="00A12641">
              <w:rPr>
                <w:noProof/>
                <w:webHidden/>
              </w:rPr>
              <w:fldChar w:fldCharType="end"/>
            </w:r>
          </w:hyperlink>
        </w:p>
        <w:p w14:paraId="2B60B7D9" w14:textId="338F20B0" w:rsidR="00A12641" w:rsidRDefault="008D05CD">
          <w:pPr>
            <w:pStyle w:val="TOC2"/>
            <w:rPr>
              <w:rFonts w:asciiTheme="minorHAnsi" w:eastAsiaTheme="minorEastAsia" w:hAnsiTheme="minorHAnsi" w:cstheme="minorBidi"/>
              <w:noProof/>
              <w:lang w:eastAsia="en-GB"/>
            </w:rPr>
          </w:pPr>
          <w:hyperlink w:anchor="_Toc135829959" w:history="1">
            <w:r w:rsidR="00A12641" w:rsidRPr="00D852FD">
              <w:rPr>
                <w:rStyle w:val="Hyperlink"/>
                <w:noProof/>
              </w:rPr>
              <w:t>2.3</w:t>
            </w:r>
            <w:r w:rsidR="00A12641">
              <w:rPr>
                <w:rFonts w:asciiTheme="minorHAnsi" w:eastAsiaTheme="minorEastAsia" w:hAnsiTheme="minorHAnsi" w:cstheme="minorBidi"/>
                <w:noProof/>
                <w:lang w:eastAsia="en-GB"/>
              </w:rPr>
              <w:tab/>
            </w:r>
            <w:r w:rsidR="00A12641" w:rsidRPr="00D852FD">
              <w:rPr>
                <w:rStyle w:val="Hyperlink"/>
                <w:noProof/>
              </w:rPr>
              <w:t>Impact of alternative coordination schemes on distribution electricity peak demand</w:t>
            </w:r>
            <w:r w:rsidR="00A12641">
              <w:rPr>
                <w:noProof/>
                <w:webHidden/>
              </w:rPr>
              <w:tab/>
            </w:r>
            <w:r w:rsidR="00A12641">
              <w:rPr>
                <w:noProof/>
                <w:webHidden/>
              </w:rPr>
              <w:fldChar w:fldCharType="begin"/>
            </w:r>
            <w:r w:rsidR="00A12641">
              <w:rPr>
                <w:noProof/>
                <w:webHidden/>
              </w:rPr>
              <w:instrText xml:space="preserve"> PAGEREF _Toc135829959 \h </w:instrText>
            </w:r>
            <w:r w:rsidR="00A12641">
              <w:rPr>
                <w:noProof/>
                <w:webHidden/>
              </w:rPr>
            </w:r>
            <w:r w:rsidR="00A12641">
              <w:rPr>
                <w:noProof/>
                <w:webHidden/>
              </w:rPr>
              <w:fldChar w:fldCharType="separate"/>
            </w:r>
            <w:r w:rsidR="00A12641">
              <w:rPr>
                <w:noProof/>
                <w:webHidden/>
              </w:rPr>
              <w:t>20</w:t>
            </w:r>
            <w:r w:rsidR="00A12641">
              <w:rPr>
                <w:noProof/>
                <w:webHidden/>
              </w:rPr>
              <w:fldChar w:fldCharType="end"/>
            </w:r>
          </w:hyperlink>
        </w:p>
        <w:p w14:paraId="3879B94E" w14:textId="40FEFE76" w:rsidR="00A12641" w:rsidRDefault="008D05CD">
          <w:pPr>
            <w:pStyle w:val="TOC2"/>
            <w:rPr>
              <w:rFonts w:asciiTheme="minorHAnsi" w:eastAsiaTheme="minorEastAsia" w:hAnsiTheme="minorHAnsi" w:cstheme="minorBidi"/>
              <w:noProof/>
              <w:lang w:eastAsia="en-GB"/>
            </w:rPr>
          </w:pPr>
          <w:hyperlink w:anchor="_Toc135829960" w:history="1">
            <w:r w:rsidR="00A12641" w:rsidRPr="00D852FD">
              <w:rPr>
                <w:rStyle w:val="Hyperlink"/>
                <w:noProof/>
              </w:rPr>
              <w:t>2.4</w:t>
            </w:r>
            <w:r w:rsidR="00A12641">
              <w:rPr>
                <w:rFonts w:asciiTheme="minorHAnsi" w:eastAsiaTheme="minorEastAsia" w:hAnsiTheme="minorHAnsi" w:cstheme="minorBidi"/>
                <w:noProof/>
                <w:lang w:eastAsia="en-GB"/>
              </w:rPr>
              <w:tab/>
            </w:r>
            <w:r w:rsidR="00A12641" w:rsidRPr="00D852FD">
              <w:rPr>
                <w:rStyle w:val="Hyperlink"/>
                <w:noProof/>
              </w:rPr>
              <w:t>Impact of different coordination schemes on annual electricity demand</w:t>
            </w:r>
            <w:r w:rsidR="00A12641">
              <w:rPr>
                <w:noProof/>
                <w:webHidden/>
              </w:rPr>
              <w:tab/>
            </w:r>
            <w:r w:rsidR="00A12641">
              <w:rPr>
                <w:noProof/>
                <w:webHidden/>
              </w:rPr>
              <w:fldChar w:fldCharType="begin"/>
            </w:r>
            <w:r w:rsidR="00A12641">
              <w:rPr>
                <w:noProof/>
                <w:webHidden/>
              </w:rPr>
              <w:instrText xml:space="preserve"> PAGEREF _Toc135829960 \h </w:instrText>
            </w:r>
            <w:r w:rsidR="00A12641">
              <w:rPr>
                <w:noProof/>
                <w:webHidden/>
              </w:rPr>
            </w:r>
            <w:r w:rsidR="00A12641">
              <w:rPr>
                <w:noProof/>
                <w:webHidden/>
              </w:rPr>
              <w:fldChar w:fldCharType="separate"/>
            </w:r>
            <w:r w:rsidR="00A12641">
              <w:rPr>
                <w:noProof/>
                <w:webHidden/>
              </w:rPr>
              <w:t>22</w:t>
            </w:r>
            <w:r w:rsidR="00A12641">
              <w:rPr>
                <w:noProof/>
                <w:webHidden/>
              </w:rPr>
              <w:fldChar w:fldCharType="end"/>
            </w:r>
          </w:hyperlink>
        </w:p>
        <w:p w14:paraId="30C6A507" w14:textId="0D9AD3A7" w:rsidR="00A12641" w:rsidRDefault="008D05CD">
          <w:pPr>
            <w:pStyle w:val="TOC2"/>
            <w:rPr>
              <w:rFonts w:asciiTheme="minorHAnsi" w:eastAsiaTheme="minorEastAsia" w:hAnsiTheme="minorHAnsi" w:cstheme="minorBidi"/>
              <w:noProof/>
              <w:lang w:eastAsia="en-GB"/>
            </w:rPr>
          </w:pPr>
          <w:hyperlink w:anchor="_Toc135829961" w:history="1">
            <w:r w:rsidR="00A12641" w:rsidRPr="00D852FD">
              <w:rPr>
                <w:rStyle w:val="Hyperlink"/>
                <w:noProof/>
              </w:rPr>
              <w:t>2.5</w:t>
            </w:r>
            <w:r w:rsidR="00A12641">
              <w:rPr>
                <w:rFonts w:asciiTheme="minorHAnsi" w:eastAsiaTheme="minorEastAsia" w:hAnsiTheme="minorHAnsi" w:cstheme="minorBidi"/>
                <w:noProof/>
                <w:lang w:eastAsia="en-GB"/>
              </w:rPr>
              <w:tab/>
            </w:r>
            <w:r w:rsidR="00A12641" w:rsidRPr="00D852FD">
              <w:rPr>
                <w:rStyle w:val="Hyperlink"/>
                <w:noProof/>
              </w:rPr>
              <w:t>Impact of different coordination schemes on optimal generation mixes and electricity production</w:t>
            </w:r>
            <w:r w:rsidR="00A12641">
              <w:rPr>
                <w:noProof/>
                <w:webHidden/>
              </w:rPr>
              <w:tab/>
            </w:r>
            <w:r w:rsidR="00A12641">
              <w:rPr>
                <w:noProof/>
                <w:webHidden/>
              </w:rPr>
              <w:fldChar w:fldCharType="begin"/>
            </w:r>
            <w:r w:rsidR="00A12641">
              <w:rPr>
                <w:noProof/>
                <w:webHidden/>
              </w:rPr>
              <w:instrText xml:space="preserve"> PAGEREF _Toc135829961 \h </w:instrText>
            </w:r>
            <w:r w:rsidR="00A12641">
              <w:rPr>
                <w:noProof/>
                <w:webHidden/>
              </w:rPr>
            </w:r>
            <w:r w:rsidR="00A12641">
              <w:rPr>
                <w:noProof/>
                <w:webHidden/>
              </w:rPr>
              <w:fldChar w:fldCharType="separate"/>
            </w:r>
            <w:r w:rsidR="00A12641">
              <w:rPr>
                <w:noProof/>
                <w:webHidden/>
              </w:rPr>
              <w:t>22</w:t>
            </w:r>
            <w:r w:rsidR="00A12641">
              <w:rPr>
                <w:noProof/>
                <w:webHidden/>
              </w:rPr>
              <w:fldChar w:fldCharType="end"/>
            </w:r>
          </w:hyperlink>
        </w:p>
        <w:p w14:paraId="4FB5C027" w14:textId="35421F3E" w:rsidR="00A12641" w:rsidRDefault="008D05CD">
          <w:pPr>
            <w:pStyle w:val="TOC2"/>
            <w:rPr>
              <w:rFonts w:asciiTheme="minorHAnsi" w:eastAsiaTheme="minorEastAsia" w:hAnsiTheme="minorHAnsi" w:cstheme="minorBidi"/>
              <w:noProof/>
              <w:lang w:eastAsia="en-GB"/>
            </w:rPr>
          </w:pPr>
          <w:hyperlink w:anchor="_Toc135829962" w:history="1">
            <w:r w:rsidR="00A12641" w:rsidRPr="00D852FD">
              <w:rPr>
                <w:rStyle w:val="Hyperlink"/>
                <w:noProof/>
              </w:rPr>
              <w:t>2.6</w:t>
            </w:r>
            <w:r w:rsidR="00A12641">
              <w:rPr>
                <w:rFonts w:asciiTheme="minorHAnsi" w:eastAsiaTheme="minorEastAsia" w:hAnsiTheme="minorHAnsi" w:cstheme="minorBidi"/>
                <w:noProof/>
                <w:lang w:eastAsia="en-GB"/>
              </w:rPr>
              <w:tab/>
            </w:r>
            <w:r w:rsidR="00A12641" w:rsidRPr="00D852FD">
              <w:rPr>
                <w:rStyle w:val="Hyperlink"/>
                <w:noProof/>
              </w:rPr>
              <w:t>Impact of different coordination schemes on optimal distributed flexibility resources</w:t>
            </w:r>
            <w:r w:rsidR="00A12641">
              <w:rPr>
                <w:noProof/>
                <w:webHidden/>
              </w:rPr>
              <w:tab/>
            </w:r>
            <w:r w:rsidR="00A12641">
              <w:rPr>
                <w:noProof/>
                <w:webHidden/>
              </w:rPr>
              <w:fldChar w:fldCharType="begin"/>
            </w:r>
            <w:r w:rsidR="00A12641">
              <w:rPr>
                <w:noProof/>
                <w:webHidden/>
              </w:rPr>
              <w:instrText xml:space="preserve"> PAGEREF _Toc135829962 \h </w:instrText>
            </w:r>
            <w:r w:rsidR="00A12641">
              <w:rPr>
                <w:noProof/>
                <w:webHidden/>
              </w:rPr>
            </w:r>
            <w:r w:rsidR="00A12641">
              <w:rPr>
                <w:noProof/>
                <w:webHidden/>
              </w:rPr>
              <w:fldChar w:fldCharType="separate"/>
            </w:r>
            <w:r w:rsidR="00A12641">
              <w:rPr>
                <w:noProof/>
                <w:webHidden/>
              </w:rPr>
              <w:t>24</w:t>
            </w:r>
            <w:r w:rsidR="00A12641">
              <w:rPr>
                <w:noProof/>
                <w:webHidden/>
              </w:rPr>
              <w:fldChar w:fldCharType="end"/>
            </w:r>
          </w:hyperlink>
        </w:p>
        <w:p w14:paraId="0A99845E" w14:textId="194DCB4D" w:rsidR="00A12641" w:rsidRDefault="008D05CD">
          <w:pPr>
            <w:pStyle w:val="TOC3"/>
            <w:rPr>
              <w:rFonts w:asciiTheme="minorHAnsi" w:eastAsiaTheme="minorEastAsia" w:hAnsiTheme="minorHAnsi" w:cstheme="minorBidi"/>
              <w:i w:val="0"/>
              <w:noProof/>
              <w:lang w:eastAsia="en-GB"/>
            </w:rPr>
          </w:pPr>
          <w:hyperlink w:anchor="_Toc135829963" w:history="1">
            <w:r w:rsidR="00A12641" w:rsidRPr="00D852FD">
              <w:rPr>
                <w:rStyle w:val="Hyperlink"/>
                <w:noProof/>
              </w:rPr>
              <w:t>2.6.1</w:t>
            </w:r>
            <w:r w:rsidR="00A12641">
              <w:rPr>
                <w:rFonts w:asciiTheme="minorHAnsi" w:eastAsiaTheme="minorEastAsia" w:hAnsiTheme="minorHAnsi" w:cstheme="minorBidi"/>
                <w:i w:val="0"/>
                <w:noProof/>
                <w:lang w:eastAsia="en-GB"/>
              </w:rPr>
              <w:tab/>
            </w:r>
            <w:r w:rsidR="00A12641" w:rsidRPr="00D852FD">
              <w:rPr>
                <w:rStyle w:val="Hyperlink"/>
                <w:noProof/>
              </w:rPr>
              <w:t>Regional distribution of energy storage and demand response capability</w:t>
            </w:r>
            <w:r w:rsidR="00A12641">
              <w:rPr>
                <w:noProof/>
                <w:webHidden/>
              </w:rPr>
              <w:tab/>
            </w:r>
            <w:r w:rsidR="00A12641">
              <w:rPr>
                <w:noProof/>
                <w:webHidden/>
              </w:rPr>
              <w:fldChar w:fldCharType="begin"/>
            </w:r>
            <w:r w:rsidR="00A12641">
              <w:rPr>
                <w:noProof/>
                <w:webHidden/>
              </w:rPr>
              <w:instrText xml:space="preserve"> PAGEREF _Toc135829963 \h </w:instrText>
            </w:r>
            <w:r w:rsidR="00A12641">
              <w:rPr>
                <w:noProof/>
                <w:webHidden/>
              </w:rPr>
            </w:r>
            <w:r w:rsidR="00A12641">
              <w:rPr>
                <w:noProof/>
                <w:webHidden/>
              </w:rPr>
              <w:fldChar w:fldCharType="separate"/>
            </w:r>
            <w:r w:rsidR="00A12641">
              <w:rPr>
                <w:noProof/>
                <w:webHidden/>
              </w:rPr>
              <w:t>26</w:t>
            </w:r>
            <w:r w:rsidR="00A12641">
              <w:rPr>
                <w:noProof/>
                <w:webHidden/>
              </w:rPr>
              <w:fldChar w:fldCharType="end"/>
            </w:r>
          </w:hyperlink>
        </w:p>
        <w:p w14:paraId="3E77C8B7" w14:textId="2B56E20A" w:rsidR="00A12641" w:rsidRDefault="008D05CD">
          <w:pPr>
            <w:pStyle w:val="TOC2"/>
            <w:rPr>
              <w:rFonts w:asciiTheme="minorHAnsi" w:eastAsiaTheme="minorEastAsia" w:hAnsiTheme="minorHAnsi" w:cstheme="minorBidi"/>
              <w:noProof/>
              <w:lang w:eastAsia="en-GB"/>
            </w:rPr>
          </w:pPr>
          <w:hyperlink w:anchor="_Toc135829964" w:history="1">
            <w:r w:rsidR="00A12641" w:rsidRPr="00D852FD">
              <w:rPr>
                <w:rStyle w:val="Hyperlink"/>
                <w:noProof/>
              </w:rPr>
              <w:t>2.7</w:t>
            </w:r>
            <w:r w:rsidR="00A12641">
              <w:rPr>
                <w:rFonts w:asciiTheme="minorHAnsi" w:eastAsiaTheme="minorEastAsia" w:hAnsiTheme="minorHAnsi" w:cstheme="minorBidi"/>
                <w:noProof/>
                <w:lang w:eastAsia="en-GB"/>
              </w:rPr>
              <w:tab/>
            </w:r>
            <w:r w:rsidR="00A12641" w:rsidRPr="00D852FD">
              <w:rPr>
                <w:rStyle w:val="Hyperlink"/>
                <w:noProof/>
              </w:rPr>
              <w:t>Incremental costs of suboptimality that may occur in Scheme 1</w:t>
            </w:r>
            <w:r w:rsidR="00A12641">
              <w:rPr>
                <w:noProof/>
                <w:webHidden/>
              </w:rPr>
              <w:tab/>
            </w:r>
            <w:r w:rsidR="00A12641">
              <w:rPr>
                <w:noProof/>
                <w:webHidden/>
              </w:rPr>
              <w:fldChar w:fldCharType="begin"/>
            </w:r>
            <w:r w:rsidR="00A12641">
              <w:rPr>
                <w:noProof/>
                <w:webHidden/>
              </w:rPr>
              <w:instrText xml:space="preserve"> PAGEREF _Toc135829964 \h </w:instrText>
            </w:r>
            <w:r w:rsidR="00A12641">
              <w:rPr>
                <w:noProof/>
                <w:webHidden/>
              </w:rPr>
            </w:r>
            <w:r w:rsidR="00A12641">
              <w:rPr>
                <w:noProof/>
                <w:webHidden/>
              </w:rPr>
              <w:fldChar w:fldCharType="separate"/>
            </w:r>
            <w:r w:rsidR="00A12641">
              <w:rPr>
                <w:noProof/>
                <w:webHidden/>
              </w:rPr>
              <w:t>27</w:t>
            </w:r>
            <w:r w:rsidR="00A12641">
              <w:rPr>
                <w:noProof/>
                <w:webHidden/>
              </w:rPr>
              <w:fldChar w:fldCharType="end"/>
            </w:r>
          </w:hyperlink>
        </w:p>
        <w:p w14:paraId="145BE1A9" w14:textId="7EDD4E34" w:rsidR="00A12641" w:rsidRDefault="008D05CD">
          <w:pPr>
            <w:pStyle w:val="TOC1"/>
            <w:rPr>
              <w:rFonts w:asciiTheme="minorHAnsi" w:eastAsiaTheme="minorEastAsia" w:hAnsiTheme="minorHAnsi" w:cstheme="minorBidi"/>
              <w:b w:val="0"/>
              <w:noProof/>
              <w:lang w:eastAsia="en-GB"/>
            </w:rPr>
          </w:pPr>
          <w:hyperlink w:anchor="_Toc135829965" w:history="1">
            <w:r w:rsidR="00A12641" w:rsidRPr="00D852FD">
              <w:rPr>
                <w:rStyle w:val="Hyperlink"/>
                <w:noProof/>
              </w:rPr>
              <w:t>Chapter 3.</w:t>
            </w:r>
            <w:r w:rsidR="00A12641">
              <w:rPr>
                <w:rFonts w:asciiTheme="minorHAnsi" w:eastAsiaTheme="minorEastAsia" w:hAnsiTheme="minorHAnsi" w:cstheme="minorBidi"/>
                <w:b w:val="0"/>
                <w:noProof/>
                <w:lang w:eastAsia="en-GB"/>
              </w:rPr>
              <w:tab/>
            </w:r>
            <w:r w:rsidR="00A12641" w:rsidRPr="00D852FD">
              <w:rPr>
                <w:rStyle w:val="Hyperlink"/>
                <w:noProof/>
              </w:rPr>
              <w:t>Sensitivity studies</w:t>
            </w:r>
            <w:r w:rsidR="00A12641">
              <w:rPr>
                <w:noProof/>
                <w:webHidden/>
              </w:rPr>
              <w:tab/>
            </w:r>
            <w:r w:rsidR="00A12641">
              <w:rPr>
                <w:noProof/>
                <w:webHidden/>
              </w:rPr>
              <w:fldChar w:fldCharType="begin"/>
            </w:r>
            <w:r w:rsidR="00A12641">
              <w:rPr>
                <w:noProof/>
                <w:webHidden/>
              </w:rPr>
              <w:instrText xml:space="preserve"> PAGEREF _Toc135829965 \h </w:instrText>
            </w:r>
            <w:r w:rsidR="00A12641">
              <w:rPr>
                <w:noProof/>
                <w:webHidden/>
              </w:rPr>
            </w:r>
            <w:r w:rsidR="00A12641">
              <w:rPr>
                <w:noProof/>
                <w:webHidden/>
              </w:rPr>
              <w:fldChar w:fldCharType="separate"/>
            </w:r>
            <w:r w:rsidR="00A12641">
              <w:rPr>
                <w:noProof/>
                <w:webHidden/>
              </w:rPr>
              <w:t>29</w:t>
            </w:r>
            <w:r w:rsidR="00A12641">
              <w:rPr>
                <w:noProof/>
                <w:webHidden/>
              </w:rPr>
              <w:fldChar w:fldCharType="end"/>
            </w:r>
          </w:hyperlink>
        </w:p>
        <w:p w14:paraId="23ECC752" w14:textId="6083CF2D" w:rsidR="00A12641" w:rsidRDefault="008D05CD">
          <w:pPr>
            <w:pStyle w:val="TOC2"/>
            <w:rPr>
              <w:rFonts w:asciiTheme="minorHAnsi" w:eastAsiaTheme="minorEastAsia" w:hAnsiTheme="minorHAnsi" w:cstheme="minorBidi"/>
              <w:noProof/>
              <w:lang w:eastAsia="en-GB"/>
            </w:rPr>
          </w:pPr>
          <w:hyperlink w:anchor="_Toc135829966" w:history="1">
            <w:r w:rsidR="00A12641" w:rsidRPr="00D852FD">
              <w:rPr>
                <w:rStyle w:val="Hyperlink"/>
                <w:noProof/>
              </w:rPr>
              <w:t>3.1</w:t>
            </w:r>
            <w:r w:rsidR="00A12641">
              <w:rPr>
                <w:rFonts w:asciiTheme="minorHAnsi" w:eastAsiaTheme="minorEastAsia" w:hAnsiTheme="minorHAnsi" w:cstheme="minorBidi"/>
                <w:noProof/>
                <w:lang w:eastAsia="en-GB"/>
              </w:rPr>
              <w:tab/>
            </w:r>
            <w:r w:rsidR="00A12641" w:rsidRPr="00D852FD">
              <w:rPr>
                <w:rStyle w:val="Hyperlink"/>
                <w:noProof/>
              </w:rPr>
              <w:t>Sensitivity scenarios</w:t>
            </w:r>
            <w:r w:rsidR="00A12641">
              <w:rPr>
                <w:noProof/>
                <w:webHidden/>
              </w:rPr>
              <w:tab/>
            </w:r>
            <w:r w:rsidR="00A12641">
              <w:rPr>
                <w:noProof/>
                <w:webHidden/>
              </w:rPr>
              <w:fldChar w:fldCharType="begin"/>
            </w:r>
            <w:r w:rsidR="00A12641">
              <w:rPr>
                <w:noProof/>
                <w:webHidden/>
              </w:rPr>
              <w:instrText xml:space="preserve"> PAGEREF _Toc135829966 \h </w:instrText>
            </w:r>
            <w:r w:rsidR="00A12641">
              <w:rPr>
                <w:noProof/>
                <w:webHidden/>
              </w:rPr>
            </w:r>
            <w:r w:rsidR="00A12641">
              <w:rPr>
                <w:noProof/>
                <w:webHidden/>
              </w:rPr>
              <w:fldChar w:fldCharType="separate"/>
            </w:r>
            <w:r w:rsidR="00A12641">
              <w:rPr>
                <w:noProof/>
                <w:webHidden/>
              </w:rPr>
              <w:t>29</w:t>
            </w:r>
            <w:r w:rsidR="00A12641">
              <w:rPr>
                <w:noProof/>
                <w:webHidden/>
              </w:rPr>
              <w:fldChar w:fldCharType="end"/>
            </w:r>
          </w:hyperlink>
        </w:p>
        <w:p w14:paraId="4DA74DBC" w14:textId="02C6A180" w:rsidR="00A12641" w:rsidRDefault="008D05CD">
          <w:pPr>
            <w:pStyle w:val="TOC2"/>
            <w:rPr>
              <w:rFonts w:asciiTheme="minorHAnsi" w:eastAsiaTheme="minorEastAsia" w:hAnsiTheme="minorHAnsi" w:cstheme="minorBidi"/>
              <w:noProof/>
              <w:lang w:eastAsia="en-GB"/>
            </w:rPr>
          </w:pPr>
          <w:hyperlink w:anchor="_Toc135829967" w:history="1">
            <w:r w:rsidR="00A12641" w:rsidRPr="00D852FD">
              <w:rPr>
                <w:rStyle w:val="Hyperlink"/>
                <w:noProof/>
              </w:rPr>
              <w:t>3.2</w:t>
            </w:r>
            <w:r w:rsidR="00A12641">
              <w:rPr>
                <w:rFonts w:asciiTheme="minorHAnsi" w:eastAsiaTheme="minorEastAsia" w:hAnsiTheme="minorHAnsi" w:cstheme="minorBidi"/>
                <w:noProof/>
                <w:lang w:eastAsia="en-GB"/>
              </w:rPr>
              <w:tab/>
            </w:r>
            <w:r w:rsidR="00A12641" w:rsidRPr="00D852FD">
              <w:rPr>
                <w:rStyle w:val="Hyperlink"/>
                <w:noProof/>
              </w:rPr>
              <w:t>System benefits of Scheme 1 (Enhanced Coordination) and Scheme 2 (Distributed Flexibility Coordinator) against Business-as-Usual approach</w:t>
            </w:r>
            <w:r w:rsidR="00A12641">
              <w:rPr>
                <w:noProof/>
                <w:webHidden/>
              </w:rPr>
              <w:tab/>
            </w:r>
            <w:r w:rsidR="00A12641">
              <w:rPr>
                <w:noProof/>
                <w:webHidden/>
              </w:rPr>
              <w:fldChar w:fldCharType="begin"/>
            </w:r>
            <w:r w:rsidR="00A12641">
              <w:rPr>
                <w:noProof/>
                <w:webHidden/>
              </w:rPr>
              <w:instrText xml:space="preserve"> PAGEREF _Toc135829967 \h </w:instrText>
            </w:r>
            <w:r w:rsidR="00A12641">
              <w:rPr>
                <w:noProof/>
                <w:webHidden/>
              </w:rPr>
            </w:r>
            <w:r w:rsidR="00A12641">
              <w:rPr>
                <w:noProof/>
                <w:webHidden/>
              </w:rPr>
              <w:fldChar w:fldCharType="separate"/>
            </w:r>
            <w:r w:rsidR="00A12641">
              <w:rPr>
                <w:noProof/>
                <w:webHidden/>
              </w:rPr>
              <w:t>30</w:t>
            </w:r>
            <w:r w:rsidR="00A12641">
              <w:rPr>
                <w:noProof/>
                <w:webHidden/>
              </w:rPr>
              <w:fldChar w:fldCharType="end"/>
            </w:r>
          </w:hyperlink>
        </w:p>
        <w:p w14:paraId="265E00F0" w14:textId="5490FED0" w:rsidR="00A12641" w:rsidRDefault="008D05CD">
          <w:pPr>
            <w:pStyle w:val="TOC1"/>
            <w:rPr>
              <w:rFonts w:asciiTheme="minorHAnsi" w:eastAsiaTheme="minorEastAsia" w:hAnsiTheme="minorHAnsi" w:cstheme="minorBidi"/>
              <w:b w:val="0"/>
              <w:noProof/>
              <w:lang w:eastAsia="en-GB"/>
            </w:rPr>
          </w:pPr>
          <w:hyperlink w:anchor="_Toc135829968" w:history="1">
            <w:r w:rsidR="00A12641" w:rsidRPr="00D852FD">
              <w:rPr>
                <w:rStyle w:val="Hyperlink"/>
                <w:noProof/>
              </w:rPr>
              <w:t>Chapter 4.</w:t>
            </w:r>
            <w:r w:rsidR="00A12641">
              <w:rPr>
                <w:rFonts w:asciiTheme="minorHAnsi" w:eastAsiaTheme="minorEastAsia" w:hAnsiTheme="minorHAnsi" w:cstheme="minorBidi"/>
                <w:b w:val="0"/>
                <w:noProof/>
                <w:lang w:eastAsia="en-GB"/>
              </w:rPr>
              <w:tab/>
            </w:r>
            <w:r w:rsidR="00A12641" w:rsidRPr="00D852FD">
              <w:rPr>
                <w:rStyle w:val="Hyperlink"/>
                <w:noProof/>
              </w:rPr>
              <w:t>Use Cases</w:t>
            </w:r>
            <w:r w:rsidR="00A12641">
              <w:rPr>
                <w:noProof/>
                <w:webHidden/>
              </w:rPr>
              <w:tab/>
            </w:r>
            <w:r w:rsidR="00A12641">
              <w:rPr>
                <w:noProof/>
                <w:webHidden/>
              </w:rPr>
              <w:fldChar w:fldCharType="begin"/>
            </w:r>
            <w:r w:rsidR="00A12641">
              <w:rPr>
                <w:noProof/>
                <w:webHidden/>
              </w:rPr>
              <w:instrText xml:space="preserve"> PAGEREF _Toc135829968 \h </w:instrText>
            </w:r>
            <w:r w:rsidR="00A12641">
              <w:rPr>
                <w:noProof/>
                <w:webHidden/>
              </w:rPr>
            </w:r>
            <w:r w:rsidR="00A12641">
              <w:rPr>
                <w:noProof/>
                <w:webHidden/>
              </w:rPr>
              <w:fldChar w:fldCharType="separate"/>
            </w:r>
            <w:r w:rsidR="00A12641">
              <w:rPr>
                <w:noProof/>
                <w:webHidden/>
              </w:rPr>
              <w:t>32</w:t>
            </w:r>
            <w:r w:rsidR="00A12641">
              <w:rPr>
                <w:noProof/>
                <w:webHidden/>
              </w:rPr>
              <w:fldChar w:fldCharType="end"/>
            </w:r>
          </w:hyperlink>
        </w:p>
        <w:p w14:paraId="7F56B048" w14:textId="462DEB24" w:rsidR="00A12641" w:rsidRDefault="008D05CD">
          <w:pPr>
            <w:pStyle w:val="TOC2"/>
            <w:rPr>
              <w:rFonts w:asciiTheme="minorHAnsi" w:eastAsiaTheme="minorEastAsia" w:hAnsiTheme="minorHAnsi" w:cstheme="minorBidi"/>
              <w:noProof/>
              <w:lang w:eastAsia="en-GB"/>
            </w:rPr>
          </w:pPr>
          <w:hyperlink w:anchor="_Toc135829969" w:history="1">
            <w:r w:rsidR="00A12641" w:rsidRPr="00D852FD">
              <w:rPr>
                <w:rStyle w:val="Hyperlink"/>
                <w:noProof/>
              </w:rPr>
              <w:t>4.1</w:t>
            </w:r>
            <w:r w:rsidR="00A12641">
              <w:rPr>
                <w:rFonts w:asciiTheme="minorHAnsi" w:eastAsiaTheme="minorEastAsia" w:hAnsiTheme="minorHAnsi" w:cstheme="minorBidi"/>
                <w:noProof/>
                <w:lang w:eastAsia="en-GB"/>
              </w:rPr>
              <w:tab/>
            </w:r>
            <w:r w:rsidR="00A12641" w:rsidRPr="00D852FD">
              <w:rPr>
                <w:rStyle w:val="Hyperlink"/>
                <w:noProof/>
              </w:rPr>
              <w:t>Objective</w:t>
            </w:r>
            <w:r w:rsidR="00A12641">
              <w:rPr>
                <w:noProof/>
                <w:webHidden/>
              </w:rPr>
              <w:tab/>
            </w:r>
            <w:r w:rsidR="00A12641">
              <w:rPr>
                <w:noProof/>
                <w:webHidden/>
              </w:rPr>
              <w:fldChar w:fldCharType="begin"/>
            </w:r>
            <w:r w:rsidR="00A12641">
              <w:rPr>
                <w:noProof/>
                <w:webHidden/>
              </w:rPr>
              <w:instrText xml:space="preserve"> PAGEREF _Toc135829969 \h </w:instrText>
            </w:r>
            <w:r w:rsidR="00A12641">
              <w:rPr>
                <w:noProof/>
                <w:webHidden/>
              </w:rPr>
            </w:r>
            <w:r w:rsidR="00A12641">
              <w:rPr>
                <w:noProof/>
                <w:webHidden/>
              </w:rPr>
              <w:fldChar w:fldCharType="separate"/>
            </w:r>
            <w:r w:rsidR="00A12641">
              <w:rPr>
                <w:noProof/>
                <w:webHidden/>
              </w:rPr>
              <w:t>32</w:t>
            </w:r>
            <w:r w:rsidR="00A12641">
              <w:rPr>
                <w:noProof/>
                <w:webHidden/>
              </w:rPr>
              <w:fldChar w:fldCharType="end"/>
            </w:r>
          </w:hyperlink>
        </w:p>
        <w:p w14:paraId="3BB5A3BB" w14:textId="7DEB9510" w:rsidR="00A12641" w:rsidRDefault="008D05CD">
          <w:pPr>
            <w:pStyle w:val="TOC2"/>
            <w:rPr>
              <w:rFonts w:asciiTheme="minorHAnsi" w:eastAsiaTheme="minorEastAsia" w:hAnsiTheme="minorHAnsi" w:cstheme="minorBidi"/>
              <w:noProof/>
              <w:lang w:eastAsia="en-GB"/>
            </w:rPr>
          </w:pPr>
          <w:hyperlink w:anchor="_Toc135829970" w:history="1">
            <w:r w:rsidR="00A12641" w:rsidRPr="00D852FD">
              <w:rPr>
                <w:rStyle w:val="Hyperlink"/>
                <w:noProof/>
              </w:rPr>
              <w:t>4.2</w:t>
            </w:r>
            <w:r w:rsidR="00A12641">
              <w:rPr>
                <w:rFonts w:asciiTheme="minorHAnsi" w:eastAsiaTheme="minorEastAsia" w:hAnsiTheme="minorHAnsi" w:cstheme="minorBidi"/>
                <w:noProof/>
                <w:lang w:eastAsia="en-GB"/>
              </w:rPr>
              <w:tab/>
            </w:r>
            <w:r w:rsidR="00A12641" w:rsidRPr="00D852FD">
              <w:rPr>
                <w:rStyle w:val="Hyperlink"/>
                <w:noProof/>
              </w:rPr>
              <w:t>Definition of stressed situations</w:t>
            </w:r>
            <w:r w:rsidR="00A12641">
              <w:rPr>
                <w:noProof/>
                <w:webHidden/>
              </w:rPr>
              <w:tab/>
            </w:r>
            <w:r w:rsidR="00A12641">
              <w:rPr>
                <w:noProof/>
                <w:webHidden/>
              </w:rPr>
              <w:fldChar w:fldCharType="begin"/>
            </w:r>
            <w:r w:rsidR="00A12641">
              <w:rPr>
                <w:noProof/>
                <w:webHidden/>
              </w:rPr>
              <w:instrText xml:space="preserve"> PAGEREF _Toc135829970 \h </w:instrText>
            </w:r>
            <w:r w:rsidR="00A12641">
              <w:rPr>
                <w:noProof/>
                <w:webHidden/>
              </w:rPr>
            </w:r>
            <w:r w:rsidR="00A12641">
              <w:rPr>
                <w:noProof/>
                <w:webHidden/>
              </w:rPr>
              <w:fldChar w:fldCharType="separate"/>
            </w:r>
            <w:r w:rsidR="00A12641">
              <w:rPr>
                <w:noProof/>
                <w:webHidden/>
              </w:rPr>
              <w:t>32</w:t>
            </w:r>
            <w:r w:rsidR="00A12641">
              <w:rPr>
                <w:noProof/>
                <w:webHidden/>
              </w:rPr>
              <w:fldChar w:fldCharType="end"/>
            </w:r>
          </w:hyperlink>
        </w:p>
        <w:p w14:paraId="4257143A" w14:textId="08FCFA2B" w:rsidR="00A12641" w:rsidRDefault="008D05CD">
          <w:pPr>
            <w:pStyle w:val="TOC3"/>
            <w:rPr>
              <w:rFonts w:asciiTheme="minorHAnsi" w:eastAsiaTheme="minorEastAsia" w:hAnsiTheme="minorHAnsi" w:cstheme="minorBidi"/>
              <w:i w:val="0"/>
              <w:noProof/>
              <w:lang w:eastAsia="en-GB"/>
            </w:rPr>
          </w:pPr>
          <w:hyperlink w:anchor="_Toc135829971" w:history="1">
            <w:r w:rsidR="00A12641" w:rsidRPr="00D852FD">
              <w:rPr>
                <w:rStyle w:val="Hyperlink"/>
                <w:noProof/>
              </w:rPr>
              <w:t>4.2.1</w:t>
            </w:r>
            <w:r w:rsidR="00A12641">
              <w:rPr>
                <w:rFonts w:asciiTheme="minorHAnsi" w:eastAsiaTheme="minorEastAsia" w:hAnsiTheme="minorHAnsi" w:cstheme="minorBidi"/>
                <w:i w:val="0"/>
                <w:noProof/>
                <w:lang w:eastAsia="en-GB"/>
              </w:rPr>
              <w:tab/>
            </w:r>
            <w:r w:rsidR="00A12641" w:rsidRPr="00D852FD">
              <w:rPr>
                <w:rStyle w:val="Hyperlink"/>
                <w:noProof/>
              </w:rPr>
              <w:t>High offshore wind energy generation</w:t>
            </w:r>
            <w:r w:rsidR="00A12641">
              <w:rPr>
                <w:noProof/>
                <w:webHidden/>
              </w:rPr>
              <w:tab/>
            </w:r>
            <w:r w:rsidR="00A12641">
              <w:rPr>
                <w:noProof/>
                <w:webHidden/>
              </w:rPr>
              <w:fldChar w:fldCharType="begin"/>
            </w:r>
            <w:r w:rsidR="00A12641">
              <w:rPr>
                <w:noProof/>
                <w:webHidden/>
              </w:rPr>
              <w:instrText xml:space="preserve"> PAGEREF _Toc135829971 \h </w:instrText>
            </w:r>
            <w:r w:rsidR="00A12641">
              <w:rPr>
                <w:noProof/>
                <w:webHidden/>
              </w:rPr>
            </w:r>
            <w:r w:rsidR="00A12641">
              <w:rPr>
                <w:noProof/>
                <w:webHidden/>
              </w:rPr>
              <w:fldChar w:fldCharType="separate"/>
            </w:r>
            <w:r w:rsidR="00A12641">
              <w:rPr>
                <w:noProof/>
                <w:webHidden/>
              </w:rPr>
              <w:t>32</w:t>
            </w:r>
            <w:r w:rsidR="00A12641">
              <w:rPr>
                <w:noProof/>
                <w:webHidden/>
              </w:rPr>
              <w:fldChar w:fldCharType="end"/>
            </w:r>
          </w:hyperlink>
        </w:p>
        <w:p w14:paraId="21AFC000" w14:textId="3CF6E409" w:rsidR="00A12641" w:rsidRDefault="008D05CD">
          <w:pPr>
            <w:pStyle w:val="TOC3"/>
            <w:rPr>
              <w:rFonts w:asciiTheme="minorHAnsi" w:eastAsiaTheme="minorEastAsia" w:hAnsiTheme="minorHAnsi" w:cstheme="minorBidi"/>
              <w:i w:val="0"/>
              <w:noProof/>
              <w:lang w:eastAsia="en-GB"/>
            </w:rPr>
          </w:pPr>
          <w:hyperlink w:anchor="_Toc135829972" w:history="1">
            <w:r w:rsidR="00A12641" w:rsidRPr="00D852FD">
              <w:rPr>
                <w:rStyle w:val="Hyperlink"/>
                <w:noProof/>
              </w:rPr>
              <w:t>4.2.2</w:t>
            </w:r>
            <w:r w:rsidR="00A12641">
              <w:rPr>
                <w:rFonts w:asciiTheme="minorHAnsi" w:eastAsiaTheme="minorEastAsia" w:hAnsiTheme="minorHAnsi" w:cstheme="minorBidi"/>
                <w:i w:val="0"/>
                <w:noProof/>
                <w:lang w:eastAsia="en-GB"/>
              </w:rPr>
              <w:tab/>
            </w:r>
            <w:r w:rsidR="00A12641" w:rsidRPr="00D852FD">
              <w:rPr>
                <w:rStyle w:val="Hyperlink"/>
                <w:noProof/>
              </w:rPr>
              <w:t>High heat pump consumption (likely over Winter Peak)</w:t>
            </w:r>
            <w:r w:rsidR="00A12641">
              <w:rPr>
                <w:noProof/>
                <w:webHidden/>
              </w:rPr>
              <w:tab/>
            </w:r>
            <w:r w:rsidR="00A12641">
              <w:rPr>
                <w:noProof/>
                <w:webHidden/>
              </w:rPr>
              <w:fldChar w:fldCharType="begin"/>
            </w:r>
            <w:r w:rsidR="00A12641">
              <w:rPr>
                <w:noProof/>
                <w:webHidden/>
              </w:rPr>
              <w:instrText xml:space="preserve"> PAGEREF _Toc135829972 \h </w:instrText>
            </w:r>
            <w:r w:rsidR="00A12641">
              <w:rPr>
                <w:noProof/>
                <w:webHidden/>
              </w:rPr>
            </w:r>
            <w:r w:rsidR="00A12641">
              <w:rPr>
                <w:noProof/>
                <w:webHidden/>
              </w:rPr>
              <w:fldChar w:fldCharType="separate"/>
            </w:r>
            <w:r w:rsidR="00A12641">
              <w:rPr>
                <w:noProof/>
                <w:webHidden/>
              </w:rPr>
              <w:t>32</w:t>
            </w:r>
            <w:r w:rsidR="00A12641">
              <w:rPr>
                <w:noProof/>
                <w:webHidden/>
              </w:rPr>
              <w:fldChar w:fldCharType="end"/>
            </w:r>
          </w:hyperlink>
        </w:p>
        <w:p w14:paraId="6E658C0D" w14:textId="5E766D55" w:rsidR="00A12641" w:rsidRDefault="008D05CD">
          <w:pPr>
            <w:pStyle w:val="TOC3"/>
            <w:rPr>
              <w:rFonts w:asciiTheme="minorHAnsi" w:eastAsiaTheme="minorEastAsia" w:hAnsiTheme="minorHAnsi" w:cstheme="minorBidi"/>
              <w:i w:val="0"/>
              <w:noProof/>
              <w:lang w:eastAsia="en-GB"/>
            </w:rPr>
          </w:pPr>
          <w:hyperlink w:anchor="_Toc135829973" w:history="1">
            <w:r w:rsidR="00A12641" w:rsidRPr="00D852FD">
              <w:rPr>
                <w:rStyle w:val="Hyperlink"/>
                <w:noProof/>
              </w:rPr>
              <w:t>4.2.3</w:t>
            </w:r>
            <w:r w:rsidR="00A12641">
              <w:rPr>
                <w:rFonts w:asciiTheme="minorHAnsi" w:eastAsiaTheme="minorEastAsia" w:hAnsiTheme="minorHAnsi" w:cstheme="minorBidi"/>
                <w:i w:val="0"/>
                <w:noProof/>
                <w:lang w:eastAsia="en-GB"/>
              </w:rPr>
              <w:tab/>
            </w:r>
            <w:r w:rsidR="00A12641" w:rsidRPr="00D852FD">
              <w:rPr>
                <w:rStyle w:val="Hyperlink"/>
                <w:noProof/>
              </w:rPr>
              <w:t>High demand for transport</w:t>
            </w:r>
            <w:r w:rsidR="00A12641">
              <w:rPr>
                <w:noProof/>
                <w:webHidden/>
              </w:rPr>
              <w:tab/>
            </w:r>
            <w:r w:rsidR="00A12641">
              <w:rPr>
                <w:noProof/>
                <w:webHidden/>
              </w:rPr>
              <w:fldChar w:fldCharType="begin"/>
            </w:r>
            <w:r w:rsidR="00A12641">
              <w:rPr>
                <w:noProof/>
                <w:webHidden/>
              </w:rPr>
              <w:instrText xml:space="preserve"> PAGEREF _Toc135829973 \h </w:instrText>
            </w:r>
            <w:r w:rsidR="00A12641">
              <w:rPr>
                <w:noProof/>
                <w:webHidden/>
              </w:rPr>
            </w:r>
            <w:r w:rsidR="00A12641">
              <w:rPr>
                <w:noProof/>
                <w:webHidden/>
              </w:rPr>
              <w:fldChar w:fldCharType="separate"/>
            </w:r>
            <w:r w:rsidR="00A12641">
              <w:rPr>
                <w:noProof/>
                <w:webHidden/>
              </w:rPr>
              <w:t>33</w:t>
            </w:r>
            <w:r w:rsidR="00A12641">
              <w:rPr>
                <w:noProof/>
                <w:webHidden/>
              </w:rPr>
              <w:fldChar w:fldCharType="end"/>
            </w:r>
          </w:hyperlink>
        </w:p>
        <w:p w14:paraId="48BAB693" w14:textId="4C5B34BA" w:rsidR="00A12641" w:rsidRDefault="008D05CD">
          <w:pPr>
            <w:pStyle w:val="TOC3"/>
            <w:rPr>
              <w:rFonts w:asciiTheme="minorHAnsi" w:eastAsiaTheme="minorEastAsia" w:hAnsiTheme="minorHAnsi" w:cstheme="minorBidi"/>
              <w:i w:val="0"/>
              <w:noProof/>
              <w:lang w:eastAsia="en-GB"/>
            </w:rPr>
          </w:pPr>
          <w:hyperlink w:anchor="_Toc135829974" w:history="1">
            <w:r w:rsidR="00A12641" w:rsidRPr="00D852FD">
              <w:rPr>
                <w:rStyle w:val="Hyperlink"/>
                <w:noProof/>
              </w:rPr>
              <w:t>4.2.4</w:t>
            </w:r>
            <w:r w:rsidR="00A12641">
              <w:rPr>
                <w:rFonts w:asciiTheme="minorHAnsi" w:eastAsiaTheme="minorEastAsia" w:hAnsiTheme="minorHAnsi" w:cstheme="minorBidi"/>
                <w:i w:val="0"/>
                <w:noProof/>
                <w:lang w:eastAsia="en-GB"/>
              </w:rPr>
              <w:tab/>
            </w:r>
            <w:r w:rsidR="00A12641" w:rsidRPr="00D852FD">
              <w:rPr>
                <w:rStyle w:val="Hyperlink"/>
                <w:noProof/>
              </w:rPr>
              <w:t>High embedded generation (solar PV)</w:t>
            </w:r>
            <w:r w:rsidR="00A12641">
              <w:rPr>
                <w:noProof/>
                <w:webHidden/>
              </w:rPr>
              <w:tab/>
            </w:r>
            <w:r w:rsidR="00A12641">
              <w:rPr>
                <w:noProof/>
                <w:webHidden/>
              </w:rPr>
              <w:fldChar w:fldCharType="begin"/>
            </w:r>
            <w:r w:rsidR="00A12641">
              <w:rPr>
                <w:noProof/>
                <w:webHidden/>
              </w:rPr>
              <w:instrText xml:space="preserve"> PAGEREF _Toc135829974 \h </w:instrText>
            </w:r>
            <w:r w:rsidR="00A12641">
              <w:rPr>
                <w:noProof/>
                <w:webHidden/>
              </w:rPr>
            </w:r>
            <w:r w:rsidR="00A12641">
              <w:rPr>
                <w:noProof/>
                <w:webHidden/>
              </w:rPr>
              <w:fldChar w:fldCharType="separate"/>
            </w:r>
            <w:r w:rsidR="00A12641">
              <w:rPr>
                <w:noProof/>
                <w:webHidden/>
              </w:rPr>
              <w:t>33</w:t>
            </w:r>
            <w:r w:rsidR="00A12641">
              <w:rPr>
                <w:noProof/>
                <w:webHidden/>
              </w:rPr>
              <w:fldChar w:fldCharType="end"/>
            </w:r>
          </w:hyperlink>
        </w:p>
        <w:p w14:paraId="3DFAF5F3" w14:textId="46042126" w:rsidR="00A12641" w:rsidRDefault="008D05CD">
          <w:pPr>
            <w:pStyle w:val="TOC2"/>
            <w:rPr>
              <w:rFonts w:asciiTheme="minorHAnsi" w:eastAsiaTheme="minorEastAsia" w:hAnsiTheme="minorHAnsi" w:cstheme="minorBidi"/>
              <w:noProof/>
              <w:lang w:eastAsia="en-GB"/>
            </w:rPr>
          </w:pPr>
          <w:hyperlink w:anchor="_Toc135829975" w:history="1">
            <w:r w:rsidR="00A12641" w:rsidRPr="00D852FD">
              <w:rPr>
                <w:rStyle w:val="Hyperlink"/>
                <w:noProof/>
              </w:rPr>
              <w:t>4.3</w:t>
            </w:r>
            <w:r w:rsidR="00A12641">
              <w:rPr>
                <w:rFonts w:asciiTheme="minorHAnsi" w:eastAsiaTheme="minorEastAsia" w:hAnsiTheme="minorHAnsi" w:cstheme="minorBidi"/>
                <w:noProof/>
                <w:lang w:eastAsia="en-GB"/>
              </w:rPr>
              <w:tab/>
            </w:r>
            <w:r w:rsidR="00A12641" w:rsidRPr="00D852FD">
              <w:rPr>
                <w:rStyle w:val="Hyperlink"/>
                <w:noProof/>
              </w:rPr>
              <w:t>Definition of use cases</w:t>
            </w:r>
            <w:r w:rsidR="00A12641">
              <w:rPr>
                <w:noProof/>
                <w:webHidden/>
              </w:rPr>
              <w:tab/>
            </w:r>
            <w:r w:rsidR="00A12641">
              <w:rPr>
                <w:noProof/>
                <w:webHidden/>
              </w:rPr>
              <w:fldChar w:fldCharType="begin"/>
            </w:r>
            <w:r w:rsidR="00A12641">
              <w:rPr>
                <w:noProof/>
                <w:webHidden/>
              </w:rPr>
              <w:instrText xml:space="preserve"> PAGEREF _Toc135829975 \h </w:instrText>
            </w:r>
            <w:r w:rsidR="00A12641">
              <w:rPr>
                <w:noProof/>
                <w:webHidden/>
              </w:rPr>
            </w:r>
            <w:r w:rsidR="00A12641">
              <w:rPr>
                <w:noProof/>
                <w:webHidden/>
              </w:rPr>
              <w:fldChar w:fldCharType="separate"/>
            </w:r>
            <w:r w:rsidR="00A12641">
              <w:rPr>
                <w:noProof/>
                <w:webHidden/>
              </w:rPr>
              <w:t>33</w:t>
            </w:r>
            <w:r w:rsidR="00A12641">
              <w:rPr>
                <w:noProof/>
                <w:webHidden/>
              </w:rPr>
              <w:fldChar w:fldCharType="end"/>
            </w:r>
          </w:hyperlink>
        </w:p>
        <w:p w14:paraId="5FBA4F3B" w14:textId="78E51982" w:rsidR="00A12641" w:rsidRDefault="008D05CD">
          <w:pPr>
            <w:pStyle w:val="TOC1"/>
            <w:rPr>
              <w:rFonts w:asciiTheme="minorHAnsi" w:eastAsiaTheme="minorEastAsia" w:hAnsiTheme="minorHAnsi" w:cstheme="minorBidi"/>
              <w:b w:val="0"/>
              <w:noProof/>
              <w:lang w:eastAsia="en-GB"/>
            </w:rPr>
          </w:pPr>
          <w:hyperlink w:anchor="_Toc135829976" w:history="1">
            <w:r w:rsidR="00A12641" w:rsidRPr="00D852FD">
              <w:rPr>
                <w:rStyle w:val="Hyperlink"/>
                <w:noProof/>
              </w:rPr>
              <w:t>Chapter 5.</w:t>
            </w:r>
            <w:r w:rsidR="00A12641">
              <w:rPr>
                <w:rFonts w:asciiTheme="minorHAnsi" w:eastAsiaTheme="minorEastAsia" w:hAnsiTheme="minorHAnsi" w:cstheme="minorBidi"/>
                <w:b w:val="0"/>
                <w:noProof/>
                <w:lang w:eastAsia="en-GB"/>
              </w:rPr>
              <w:tab/>
            </w:r>
            <w:r w:rsidR="00A12641" w:rsidRPr="00D852FD">
              <w:rPr>
                <w:rStyle w:val="Hyperlink"/>
                <w:noProof/>
              </w:rPr>
              <w:t>Conclusions</w:t>
            </w:r>
            <w:r w:rsidR="00A12641">
              <w:rPr>
                <w:noProof/>
                <w:webHidden/>
              </w:rPr>
              <w:tab/>
            </w:r>
            <w:r w:rsidR="00A12641">
              <w:rPr>
                <w:noProof/>
                <w:webHidden/>
              </w:rPr>
              <w:fldChar w:fldCharType="begin"/>
            </w:r>
            <w:r w:rsidR="00A12641">
              <w:rPr>
                <w:noProof/>
                <w:webHidden/>
              </w:rPr>
              <w:instrText xml:space="preserve"> PAGEREF _Toc135829976 \h </w:instrText>
            </w:r>
            <w:r w:rsidR="00A12641">
              <w:rPr>
                <w:noProof/>
                <w:webHidden/>
              </w:rPr>
            </w:r>
            <w:r w:rsidR="00A12641">
              <w:rPr>
                <w:noProof/>
                <w:webHidden/>
              </w:rPr>
              <w:fldChar w:fldCharType="separate"/>
            </w:r>
            <w:r w:rsidR="00A12641">
              <w:rPr>
                <w:noProof/>
                <w:webHidden/>
              </w:rPr>
              <w:t>34</w:t>
            </w:r>
            <w:r w:rsidR="00A12641">
              <w:rPr>
                <w:noProof/>
                <w:webHidden/>
              </w:rPr>
              <w:fldChar w:fldCharType="end"/>
            </w:r>
          </w:hyperlink>
        </w:p>
        <w:p w14:paraId="097E701D" w14:textId="10C69667" w:rsidR="00A12641" w:rsidRDefault="008D05CD">
          <w:pPr>
            <w:pStyle w:val="TOC2"/>
            <w:rPr>
              <w:rFonts w:asciiTheme="minorHAnsi" w:eastAsiaTheme="minorEastAsia" w:hAnsiTheme="minorHAnsi" w:cstheme="minorBidi"/>
              <w:noProof/>
              <w:lang w:eastAsia="en-GB"/>
            </w:rPr>
          </w:pPr>
          <w:hyperlink w:anchor="_Toc135829977" w:history="1">
            <w:r w:rsidR="00A12641" w:rsidRPr="00D852FD">
              <w:rPr>
                <w:rStyle w:val="Hyperlink"/>
                <w:noProof/>
              </w:rPr>
              <w:t>5.1</w:t>
            </w:r>
            <w:r w:rsidR="00A12641">
              <w:rPr>
                <w:rFonts w:asciiTheme="minorHAnsi" w:eastAsiaTheme="minorEastAsia" w:hAnsiTheme="minorHAnsi" w:cstheme="minorBidi"/>
                <w:noProof/>
                <w:lang w:eastAsia="en-GB"/>
              </w:rPr>
              <w:tab/>
            </w:r>
            <w:r w:rsidR="00A12641" w:rsidRPr="00D852FD">
              <w:rPr>
                <w:rStyle w:val="Hyperlink"/>
                <w:noProof/>
              </w:rPr>
              <w:t>Next steps</w:t>
            </w:r>
            <w:r w:rsidR="00A12641">
              <w:rPr>
                <w:noProof/>
                <w:webHidden/>
              </w:rPr>
              <w:tab/>
            </w:r>
            <w:r w:rsidR="00A12641">
              <w:rPr>
                <w:noProof/>
                <w:webHidden/>
              </w:rPr>
              <w:fldChar w:fldCharType="begin"/>
            </w:r>
            <w:r w:rsidR="00A12641">
              <w:rPr>
                <w:noProof/>
                <w:webHidden/>
              </w:rPr>
              <w:instrText xml:space="preserve"> PAGEREF _Toc135829977 \h </w:instrText>
            </w:r>
            <w:r w:rsidR="00A12641">
              <w:rPr>
                <w:noProof/>
                <w:webHidden/>
              </w:rPr>
            </w:r>
            <w:r w:rsidR="00A12641">
              <w:rPr>
                <w:noProof/>
                <w:webHidden/>
              </w:rPr>
              <w:fldChar w:fldCharType="separate"/>
            </w:r>
            <w:r w:rsidR="00A12641">
              <w:rPr>
                <w:noProof/>
                <w:webHidden/>
              </w:rPr>
              <w:t>36</w:t>
            </w:r>
            <w:r w:rsidR="00A12641">
              <w:rPr>
                <w:noProof/>
                <w:webHidden/>
              </w:rPr>
              <w:fldChar w:fldCharType="end"/>
            </w:r>
          </w:hyperlink>
        </w:p>
        <w:p w14:paraId="529FCEAB" w14:textId="21021B8E" w:rsidR="00A12641" w:rsidRDefault="008D05CD">
          <w:pPr>
            <w:pStyle w:val="TOC1"/>
            <w:rPr>
              <w:rFonts w:asciiTheme="minorHAnsi" w:eastAsiaTheme="minorEastAsia" w:hAnsiTheme="minorHAnsi" w:cstheme="minorBidi"/>
              <w:b w:val="0"/>
              <w:noProof/>
              <w:lang w:eastAsia="en-GB"/>
            </w:rPr>
          </w:pPr>
          <w:hyperlink w:anchor="_Toc135829978" w:history="1">
            <w:r w:rsidR="00A12641" w:rsidRPr="00D852FD">
              <w:rPr>
                <w:rStyle w:val="Hyperlink"/>
                <w:noProof/>
              </w:rPr>
              <w:t>Appendix A</w:t>
            </w:r>
            <w:r w:rsidR="00A12641">
              <w:rPr>
                <w:rFonts w:asciiTheme="minorHAnsi" w:eastAsiaTheme="minorEastAsia" w:hAnsiTheme="minorHAnsi" w:cstheme="minorBidi"/>
                <w:b w:val="0"/>
                <w:noProof/>
                <w:lang w:eastAsia="en-GB"/>
              </w:rPr>
              <w:tab/>
            </w:r>
            <w:r w:rsidR="00A12641" w:rsidRPr="00D852FD">
              <w:rPr>
                <w:rStyle w:val="Hyperlink"/>
                <w:noProof/>
              </w:rPr>
              <w:t>Energy system background and key assumptions</w:t>
            </w:r>
            <w:r w:rsidR="00A12641">
              <w:rPr>
                <w:noProof/>
                <w:webHidden/>
              </w:rPr>
              <w:tab/>
            </w:r>
            <w:r w:rsidR="00A12641">
              <w:rPr>
                <w:noProof/>
                <w:webHidden/>
              </w:rPr>
              <w:fldChar w:fldCharType="begin"/>
            </w:r>
            <w:r w:rsidR="00A12641">
              <w:rPr>
                <w:noProof/>
                <w:webHidden/>
              </w:rPr>
              <w:instrText xml:space="preserve"> PAGEREF _Toc135829978 \h </w:instrText>
            </w:r>
            <w:r w:rsidR="00A12641">
              <w:rPr>
                <w:noProof/>
                <w:webHidden/>
              </w:rPr>
            </w:r>
            <w:r w:rsidR="00A12641">
              <w:rPr>
                <w:noProof/>
                <w:webHidden/>
              </w:rPr>
              <w:fldChar w:fldCharType="separate"/>
            </w:r>
            <w:r w:rsidR="00A12641">
              <w:rPr>
                <w:noProof/>
                <w:webHidden/>
              </w:rPr>
              <w:t>37</w:t>
            </w:r>
            <w:r w:rsidR="00A12641">
              <w:rPr>
                <w:noProof/>
                <w:webHidden/>
              </w:rPr>
              <w:fldChar w:fldCharType="end"/>
            </w:r>
          </w:hyperlink>
        </w:p>
        <w:p w14:paraId="57C8508F" w14:textId="3E51B7C5" w:rsidR="00A12641" w:rsidRDefault="008D05CD">
          <w:pPr>
            <w:pStyle w:val="TOC1"/>
            <w:rPr>
              <w:rFonts w:asciiTheme="minorHAnsi" w:eastAsiaTheme="minorEastAsia" w:hAnsiTheme="minorHAnsi" w:cstheme="minorBidi"/>
              <w:b w:val="0"/>
              <w:noProof/>
              <w:lang w:eastAsia="en-GB"/>
            </w:rPr>
          </w:pPr>
          <w:hyperlink w:anchor="_Toc135829979" w:history="1">
            <w:r w:rsidR="00A12641" w:rsidRPr="00D852FD">
              <w:rPr>
                <w:rStyle w:val="Hyperlink"/>
                <w:noProof/>
              </w:rPr>
              <w:t>Appendix B</w:t>
            </w:r>
            <w:r w:rsidR="00A12641">
              <w:rPr>
                <w:rFonts w:asciiTheme="minorHAnsi" w:eastAsiaTheme="minorEastAsia" w:hAnsiTheme="minorHAnsi" w:cstheme="minorBidi"/>
                <w:b w:val="0"/>
                <w:noProof/>
                <w:lang w:eastAsia="en-GB"/>
              </w:rPr>
              <w:tab/>
            </w:r>
            <w:r w:rsidR="00A12641" w:rsidRPr="00D852FD">
              <w:rPr>
                <w:rStyle w:val="Hyperlink"/>
                <w:noProof/>
              </w:rPr>
              <w:t>Modelling approach</w:t>
            </w:r>
            <w:r w:rsidR="00A12641">
              <w:rPr>
                <w:noProof/>
                <w:webHidden/>
              </w:rPr>
              <w:tab/>
            </w:r>
            <w:r w:rsidR="00A12641">
              <w:rPr>
                <w:noProof/>
                <w:webHidden/>
              </w:rPr>
              <w:fldChar w:fldCharType="begin"/>
            </w:r>
            <w:r w:rsidR="00A12641">
              <w:rPr>
                <w:noProof/>
                <w:webHidden/>
              </w:rPr>
              <w:instrText xml:space="preserve"> PAGEREF _Toc135829979 \h </w:instrText>
            </w:r>
            <w:r w:rsidR="00A12641">
              <w:rPr>
                <w:noProof/>
                <w:webHidden/>
              </w:rPr>
            </w:r>
            <w:r w:rsidR="00A12641">
              <w:rPr>
                <w:noProof/>
                <w:webHidden/>
              </w:rPr>
              <w:fldChar w:fldCharType="separate"/>
            </w:r>
            <w:r w:rsidR="00A12641">
              <w:rPr>
                <w:noProof/>
                <w:webHidden/>
              </w:rPr>
              <w:t>40</w:t>
            </w:r>
            <w:r w:rsidR="00A12641">
              <w:rPr>
                <w:noProof/>
                <w:webHidden/>
              </w:rPr>
              <w:fldChar w:fldCharType="end"/>
            </w:r>
          </w:hyperlink>
        </w:p>
        <w:p w14:paraId="5C85E0BC" w14:textId="3AC76101" w:rsidR="00894CED" w:rsidRPr="0056306A" w:rsidRDefault="00D93764" w:rsidP="00903EB8">
          <w:r w:rsidRPr="0056306A">
            <w:rPr>
              <w:b/>
              <w:bCs/>
            </w:rPr>
            <w:fldChar w:fldCharType="end"/>
          </w:r>
        </w:p>
      </w:sdtContent>
    </w:sdt>
    <w:p w14:paraId="5A198D41" w14:textId="2F8CD057" w:rsidR="00097A32" w:rsidRPr="0056306A" w:rsidRDefault="30D8CA06" w:rsidP="0056306A">
      <w:pPr>
        <w:pStyle w:val="Heading1"/>
        <w:numPr>
          <w:ilvl w:val="0"/>
          <w:numId w:val="0"/>
        </w:numPr>
        <w:rPr>
          <w:lang w:val="en-GB"/>
        </w:rPr>
      </w:pPr>
      <w:bookmarkStart w:id="3" w:name="_Toc135829946"/>
      <w:r w:rsidRPr="0056306A">
        <w:rPr>
          <w:lang w:val="en-GB"/>
        </w:rPr>
        <w:t>Abbreviation</w:t>
      </w:r>
      <w:r w:rsidR="00390E22">
        <w:rPr>
          <w:lang w:val="en-GB"/>
        </w:rPr>
        <w:t>s</w:t>
      </w:r>
      <w:bookmarkEnd w:id="3"/>
    </w:p>
    <w:p w14:paraId="4D060B7E" w14:textId="0EDFB639" w:rsidR="004B0C9E" w:rsidRPr="0056306A" w:rsidRDefault="004B0C9E" w:rsidP="007C0D6C">
      <w:pPr>
        <w:spacing w:after="120" w:line="240" w:lineRule="auto"/>
      </w:pPr>
      <w:r w:rsidRPr="0056306A">
        <w:tab/>
      </w:r>
      <w:r w:rsidR="00CD78DC" w:rsidRPr="0056306A">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7643"/>
      </w:tblGrid>
      <w:tr w:rsidR="00E857E4" w:rsidRPr="0056306A" w14:paraId="6AB09496" w14:textId="77777777" w:rsidTr="00E857E4">
        <w:tc>
          <w:tcPr>
            <w:tcW w:w="1418" w:type="dxa"/>
          </w:tcPr>
          <w:p w14:paraId="46CF927D" w14:textId="61988D57" w:rsidR="00E857E4" w:rsidRPr="0056306A" w:rsidRDefault="00E857E4" w:rsidP="00E857E4">
            <w:pPr>
              <w:spacing w:after="120"/>
            </w:pPr>
            <w:r w:rsidRPr="0056306A">
              <w:rPr>
                <w:rFonts w:ascii="Calibri" w:eastAsia="Calibri" w:hAnsi="Calibri"/>
                <w:color w:val="000000" w:themeColor="dark1"/>
                <w:kern w:val="24"/>
                <w:sz w:val="21"/>
                <w:szCs w:val="21"/>
              </w:rPr>
              <w:t>ATR</w:t>
            </w:r>
          </w:p>
        </w:tc>
        <w:tc>
          <w:tcPr>
            <w:tcW w:w="7643" w:type="dxa"/>
          </w:tcPr>
          <w:p w14:paraId="24339A3B" w14:textId="44415799" w:rsidR="00E857E4" w:rsidRPr="0056306A" w:rsidRDefault="00E857E4" w:rsidP="00E857E4">
            <w:pPr>
              <w:spacing w:after="120"/>
            </w:pPr>
            <w:r w:rsidRPr="0056306A">
              <w:rPr>
                <w:rFonts w:ascii="Calibri" w:eastAsia="Calibri" w:hAnsi="Calibri"/>
                <w:color w:val="000000" w:themeColor="dark1"/>
                <w:kern w:val="24"/>
                <w:sz w:val="21"/>
                <w:szCs w:val="21"/>
              </w:rPr>
              <w:t>Auto Thermal Reformer that produces hydrogen from natural gas</w:t>
            </w:r>
          </w:p>
        </w:tc>
      </w:tr>
      <w:tr w:rsidR="00E857E4" w:rsidRPr="0056306A" w14:paraId="3F73B43A" w14:textId="77777777" w:rsidTr="00E857E4">
        <w:tc>
          <w:tcPr>
            <w:tcW w:w="1418" w:type="dxa"/>
          </w:tcPr>
          <w:p w14:paraId="1B0BB776" w14:textId="2A0F7B9F" w:rsidR="00BB483B" w:rsidRDefault="00BB483B" w:rsidP="00E857E4">
            <w:pPr>
              <w:spacing w:after="120"/>
              <w:rPr>
                <w:rFonts w:ascii="Calibri" w:eastAsia="Calibri" w:hAnsi="Calibri"/>
                <w:color w:val="000000" w:themeColor="dark1"/>
                <w:kern w:val="24"/>
                <w:sz w:val="21"/>
                <w:szCs w:val="21"/>
              </w:rPr>
            </w:pPr>
            <w:r>
              <w:rPr>
                <w:rFonts w:ascii="Calibri" w:eastAsia="Calibri" w:hAnsi="Calibri"/>
                <w:color w:val="000000" w:themeColor="dark1"/>
                <w:kern w:val="24"/>
                <w:sz w:val="21"/>
                <w:szCs w:val="21"/>
              </w:rPr>
              <w:t>BaU</w:t>
            </w:r>
          </w:p>
          <w:p w14:paraId="13411F74" w14:textId="4A9D9937" w:rsidR="00E857E4" w:rsidRPr="0056306A" w:rsidRDefault="00E857E4" w:rsidP="00E857E4">
            <w:pPr>
              <w:spacing w:after="120"/>
            </w:pPr>
            <w:r w:rsidRPr="0056306A">
              <w:rPr>
                <w:rFonts w:ascii="Calibri" w:eastAsia="Calibri" w:hAnsi="Calibri"/>
                <w:color w:val="000000" w:themeColor="dark1"/>
                <w:kern w:val="24"/>
                <w:sz w:val="21"/>
                <w:szCs w:val="21"/>
              </w:rPr>
              <w:t>BECCS</w:t>
            </w:r>
          </w:p>
        </w:tc>
        <w:tc>
          <w:tcPr>
            <w:tcW w:w="7643" w:type="dxa"/>
          </w:tcPr>
          <w:p w14:paraId="0F7ED281" w14:textId="599BCBED" w:rsidR="00BB483B" w:rsidRDefault="00BB483B"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Business-as-Usual</w:t>
            </w:r>
            <w:r w:rsidR="00C74032">
              <w:rPr>
                <w:rFonts w:ascii="Calibri" w:eastAsia="Calibri" w:hAnsi="Calibri"/>
                <w:color w:val="000000"/>
                <w:kern w:val="24"/>
                <w:sz w:val="21"/>
                <w:szCs w:val="21"/>
              </w:rPr>
              <w:t xml:space="preserve">, i.e. ESO led coordination </w:t>
            </w:r>
            <w:proofErr w:type="gramStart"/>
            <w:r w:rsidR="00C74032">
              <w:rPr>
                <w:rFonts w:ascii="Calibri" w:eastAsia="Calibri" w:hAnsi="Calibri"/>
                <w:color w:val="000000"/>
                <w:kern w:val="24"/>
                <w:sz w:val="21"/>
                <w:szCs w:val="21"/>
              </w:rPr>
              <w:t>scheme</w:t>
            </w:r>
            <w:proofErr w:type="gramEnd"/>
          </w:p>
          <w:p w14:paraId="44605A44" w14:textId="267C741A" w:rsidR="00E857E4" w:rsidRPr="0056306A" w:rsidRDefault="00E857E4" w:rsidP="00E857E4">
            <w:pPr>
              <w:spacing w:after="120"/>
            </w:pPr>
            <w:proofErr w:type="spellStart"/>
            <w:r w:rsidRPr="0056306A">
              <w:rPr>
                <w:rFonts w:ascii="Calibri" w:eastAsia="Calibri" w:hAnsi="Calibri"/>
                <w:color w:val="000000"/>
                <w:kern w:val="24"/>
                <w:sz w:val="21"/>
                <w:szCs w:val="21"/>
              </w:rPr>
              <w:t>BioEnergy</w:t>
            </w:r>
            <w:proofErr w:type="spellEnd"/>
            <w:r w:rsidRPr="0056306A">
              <w:rPr>
                <w:rFonts w:ascii="Calibri" w:eastAsia="Calibri" w:hAnsi="Calibri"/>
                <w:color w:val="000000"/>
                <w:kern w:val="24"/>
                <w:sz w:val="21"/>
                <w:szCs w:val="21"/>
              </w:rPr>
              <w:t xml:space="preserve"> plants with CCS. BECCS produces hydrogen or power</w:t>
            </w:r>
          </w:p>
        </w:tc>
      </w:tr>
      <w:tr w:rsidR="00FF46EF" w:rsidRPr="0056306A" w14:paraId="4C007B75" w14:textId="77777777" w:rsidTr="00E857E4">
        <w:tc>
          <w:tcPr>
            <w:tcW w:w="1418" w:type="dxa"/>
          </w:tcPr>
          <w:p w14:paraId="419CF2DF" w14:textId="4D3C1C46" w:rsidR="00FF46EF" w:rsidRPr="0056306A" w:rsidRDefault="00FF46EF" w:rsidP="00E857E4">
            <w:pPr>
              <w:spacing w:after="120"/>
              <w:rPr>
                <w:rFonts w:ascii="Calibri" w:eastAsia="Calibri" w:hAnsi="Calibri"/>
                <w:color w:val="000000" w:themeColor="dark1"/>
                <w:kern w:val="24"/>
                <w:sz w:val="21"/>
                <w:szCs w:val="21"/>
              </w:rPr>
            </w:pPr>
            <w:r>
              <w:rPr>
                <w:rFonts w:ascii="Calibri" w:eastAsia="Calibri" w:hAnsi="Calibri"/>
                <w:color w:val="000000" w:themeColor="dark1"/>
                <w:kern w:val="24"/>
                <w:sz w:val="21"/>
                <w:szCs w:val="21"/>
              </w:rPr>
              <w:t>BEIS</w:t>
            </w:r>
          </w:p>
        </w:tc>
        <w:tc>
          <w:tcPr>
            <w:tcW w:w="7643" w:type="dxa"/>
          </w:tcPr>
          <w:p w14:paraId="3D1E3C6A" w14:textId="7827EE7E" w:rsidR="00FF46EF" w:rsidRPr="0056306A" w:rsidRDefault="007038BE" w:rsidP="00E857E4">
            <w:pPr>
              <w:spacing w:after="120"/>
              <w:rPr>
                <w:rFonts w:ascii="Calibri" w:eastAsia="Calibri" w:hAnsi="Calibri"/>
                <w:color w:val="000000"/>
                <w:kern w:val="24"/>
                <w:sz w:val="21"/>
                <w:szCs w:val="21"/>
              </w:rPr>
            </w:pPr>
            <w:r w:rsidRPr="007038BE">
              <w:rPr>
                <w:rFonts w:ascii="Calibri" w:eastAsia="Calibri" w:hAnsi="Calibri"/>
                <w:color w:val="000000"/>
                <w:kern w:val="24"/>
                <w:sz w:val="21"/>
                <w:szCs w:val="21"/>
              </w:rPr>
              <w:t xml:space="preserve">Department for Business, </w:t>
            </w:r>
            <w:proofErr w:type="gramStart"/>
            <w:r w:rsidRPr="007038BE">
              <w:rPr>
                <w:rFonts w:ascii="Calibri" w:eastAsia="Calibri" w:hAnsi="Calibri"/>
                <w:color w:val="000000"/>
                <w:kern w:val="24"/>
                <w:sz w:val="21"/>
                <w:szCs w:val="21"/>
              </w:rPr>
              <w:t>Energy</w:t>
            </w:r>
            <w:proofErr w:type="gramEnd"/>
            <w:r w:rsidRPr="007038BE">
              <w:rPr>
                <w:rFonts w:ascii="Calibri" w:eastAsia="Calibri" w:hAnsi="Calibri"/>
                <w:color w:val="000000"/>
                <w:kern w:val="24"/>
                <w:sz w:val="21"/>
                <w:szCs w:val="21"/>
              </w:rPr>
              <w:t xml:space="preserve"> and Industrial Strategy</w:t>
            </w:r>
          </w:p>
        </w:tc>
      </w:tr>
      <w:tr w:rsidR="00E857E4" w:rsidRPr="0056306A" w14:paraId="418910C0" w14:textId="77777777" w:rsidTr="00E857E4">
        <w:tc>
          <w:tcPr>
            <w:tcW w:w="1418" w:type="dxa"/>
          </w:tcPr>
          <w:p w14:paraId="7DCFC737" w14:textId="517AA00C" w:rsidR="00E857E4" w:rsidRPr="0056306A" w:rsidRDefault="00E857E4" w:rsidP="00E857E4">
            <w:pPr>
              <w:spacing w:after="120"/>
            </w:pPr>
            <w:r w:rsidRPr="0056306A">
              <w:rPr>
                <w:rFonts w:ascii="Calibri" w:eastAsia="Calibri" w:hAnsi="Calibri"/>
                <w:color w:val="000000"/>
                <w:kern w:val="24"/>
                <w:sz w:val="21"/>
                <w:szCs w:val="21"/>
              </w:rPr>
              <w:t>CCGT</w:t>
            </w:r>
          </w:p>
        </w:tc>
        <w:tc>
          <w:tcPr>
            <w:tcW w:w="7643" w:type="dxa"/>
          </w:tcPr>
          <w:p w14:paraId="271A9313" w14:textId="7F18F12F" w:rsidR="00E857E4" w:rsidRPr="0056306A" w:rsidRDefault="00E857E4" w:rsidP="00E857E4">
            <w:pPr>
              <w:spacing w:after="120"/>
            </w:pPr>
            <w:r w:rsidRPr="0056306A">
              <w:rPr>
                <w:rFonts w:ascii="Calibri" w:eastAsia="Calibri" w:hAnsi="Calibri"/>
                <w:color w:val="000000"/>
                <w:kern w:val="24"/>
                <w:sz w:val="21"/>
                <w:szCs w:val="21"/>
              </w:rPr>
              <w:t>Combined Cycle Gas Turbine (natural gas)</w:t>
            </w:r>
          </w:p>
        </w:tc>
      </w:tr>
      <w:tr w:rsidR="00E857E4" w:rsidRPr="0056306A" w14:paraId="4DCB93FB" w14:textId="77777777" w:rsidTr="00E857E4">
        <w:tc>
          <w:tcPr>
            <w:tcW w:w="1418" w:type="dxa"/>
          </w:tcPr>
          <w:p w14:paraId="42546F37" w14:textId="6FA60066" w:rsidR="00E857E4" w:rsidRPr="0056306A" w:rsidRDefault="00E857E4" w:rsidP="00E857E4">
            <w:pPr>
              <w:spacing w:after="120"/>
            </w:pPr>
            <w:r w:rsidRPr="0056306A">
              <w:rPr>
                <w:rFonts w:ascii="Calibri" w:eastAsia="Calibri" w:hAnsi="Calibri"/>
                <w:color w:val="000000"/>
                <w:kern w:val="24"/>
                <w:sz w:val="21"/>
                <w:szCs w:val="21"/>
              </w:rPr>
              <w:t>CCS</w:t>
            </w:r>
          </w:p>
        </w:tc>
        <w:tc>
          <w:tcPr>
            <w:tcW w:w="7643" w:type="dxa"/>
          </w:tcPr>
          <w:p w14:paraId="3C3B662D" w14:textId="39167267" w:rsidR="00E857E4" w:rsidRPr="0056306A" w:rsidRDefault="00E857E4" w:rsidP="00E857E4">
            <w:pPr>
              <w:spacing w:after="120"/>
            </w:pPr>
            <w:r w:rsidRPr="0056306A">
              <w:rPr>
                <w:rFonts w:ascii="Calibri" w:eastAsia="Calibri" w:hAnsi="Calibri"/>
                <w:color w:val="000000"/>
                <w:kern w:val="24"/>
                <w:sz w:val="21"/>
                <w:szCs w:val="21"/>
              </w:rPr>
              <w:t>Carbon Capture and Storage. In power generation, it refers to CCGT with CCS</w:t>
            </w:r>
          </w:p>
        </w:tc>
      </w:tr>
      <w:tr w:rsidR="0009594D" w:rsidRPr="0056306A" w14:paraId="1F4AEA15" w14:textId="77777777" w:rsidTr="00E857E4">
        <w:tc>
          <w:tcPr>
            <w:tcW w:w="1418" w:type="dxa"/>
          </w:tcPr>
          <w:p w14:paraId="74A5E0E3" w14:textId="42097C0E" w:rsidR="0009594D" w:rsidRPr="0056306A" w:rsidRDefault="0009594D"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CE</w:t>
            </w:r>
          </w:p>
        </w:tc>
        <w:tc>
          <w:tcPr>
            <w:tcW w:w="7643" w:type="dxa"/>
          </w:tcPr>
          <w:p w14:paraId="1AB14FB1" w14:textId="6A0D0248" w:rsidR="0009594D" w:rsidRPr="0056306A" w:rsidRDefault="0009594D"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Continental Europe</w:t>
            </w:r>
          </w:p>
        </w:tc>
      </w:tr>
      <w:tr w:rsidR="00E857E4" w:rsidRPr="0056306A" w14:paraId="0D1CD945" w14:textId="77777777" w:rsidTr="00E857E4">
        <w:tc>
          <w:tcPr>
            <w:tcW w:w="1418" w:type="dxa"/>
          </w:tcPr>
          <w:p w14:paraId="15F8D08A" w14:textId="3C9F3261" w:rsidR="00E857E4" w:rsidRPr="0056306A" w:rsidRDefault="00E857E4" w:rsidP="00E857E4">
            <w:pPr>
              <w:spacing w:after="120"/>
            </w:pPr>
            <w:r w:rsidRPr="0056306A">
              <w:rPr>
                <w:rFonts w:ascii="Calibri" w:eastAsia="Calibri" w:hAnsi="Calibri"/>
                <w:color w:val="000000"/>
                <w:kern w:val="24"/>
                <w:sz w:val="21"/>
                <w:szCs w:val="21"/>
              </w:rPr>
              <w:t>DACCS</w:t>
            </w:r>
          </w:p>
        </w:tc>
        <w:tc>
          <w:tcPr>
            <w:tcW w:w="7643" w:type="dxa"/>
          </w:tcPr>
          <w:p w14:paraId="0564F522" w14:textId="2D2FAB04" w:rsidR="00E857E4" w:rsidRPr="0056306A" w:rsidRDefault="00E857E4" w:rsidP="00E857E4">
            <w:pPr>
              <w:spacing w:after="120"/>
            </w:pPr>
            <w:r w:rsidRPr="0056306A">
              <w:rPr>
                <w:rFonts w:ascii="Calibri" w:eastAsia="Calibri" w:hAnsi="Calibri"/>
                <w:color w:val="000000"/>
                <w:kern w:val="24"/>
                <w:sz w:val="21"/>
                <w:szCs w:val="21"/>
              </w:rPr>
              <w:t>Direct Air Carbon Capture and Storage</w:t>
            </w:r>
          </w:p>
        </w:tc>
      </w:tr>
      <w:tr w:rsidR="00FF46EF" w:rsidRPr="0056306A" w14:paraId="54CAB7CB" w14:textId="77777777" w:rsidTr="00E857E4">
        <w:tc>
          <w:tcPr>
            <w:tcW w:w="1418" w:type="dxa"/>
          </w:tcPr>
          <w:p w14:paraId="278D521B" w14:textId="7D07A72F" w:rsidR="00284296" w:rsidRDefault="00284296"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DER</w:t>
            </w:r>
          </w:p>
          <w:p w14:paraId="712EE926" w14:textId="4765CD99" w:rsidR="009977B5" w:rsidRDefault="009977B5"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DFR</w:t>
            </w:r>
          </w:p>
          <w:p w14:paraId="142C1ABC" w14:textId="2D06992C" w:rsidR="00FF46EF" w:rsidRPr="0056306A" w:rsidRDefault="00FF46E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D</w:t>
            </w:r>
            <w:r w:rsidR="00590BC8">
              <w:rPr>
                <w:rFonts w:ascii="Calibri" w:eastAsia="Calibri" w:hAnsi="Calibri"/>
                <w:color w:val="000000"/>
                <w:kern w:val="24"/>
                <w:sz w:val="21"/>
                <w:szCs w:val="21"/>
              </w:rPr>
              <w:t>S</w:t>
            </w:r>
            <w:r>
              <w:rPr>
                <w:rFonts w:ascii="Calibri" w:eastAsia="Calibri" w:hAnsi="Calibri"/>
                <w:color w:val="000000"/>
                <w:kern w:val="24"/>
                <w:sz w:val="21"/>
                <w:szCs w:val="21"/>
              </w:rPr>
              <w:t>O</w:t>
            </w:r>
          </w:p>
        </w:tc>
        <w:tc>
          <w:tcPr>
            <w:tcW w:w="7643" w:type="dxa"/>
          </w:tcPr>
          <w:p w14:paraId="60079370" w14:textId="61827030" w:rsidR="00284296" w:rsidRDefault="00284296"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Distributed Energy Resources</w:t>
            </w:r>
          </w:p>
          <w:p w14:paraId="47178F7C" w14:textId="318BECC8" w:rsidR="009977B5" w:rsidRDefault="009977B5"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Distributed Flexibility Resources</w:t>
            </w:r>
          </w:p>
          <w:p w14:paraId="7B0A4A20" w14:textId="198965EA" w:rsidR="00FF46EF" w:rsidRPr="0056306A" w:rsidRDefault="00FF46E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 xml:space="preserve">Distribution </w:t>
            </w:r>
            <w:r w:rsidR="00590BC8">
              <w:rPr>
                <w:rFonts w:ascii="Calibri" w:eastAsia="Calibri" w:hAnsi="Calibri"/>
                <w:color w:val="000000"/>
                <w:kern w:val="24"/>
                <w:sz w:val="21"/>
                <w:szCs w:val="21"/>
              </w:rPr>
              <w:t>System</w:t>
            </w:r>
            <w:r>
              <w:rPr>
                <w:rFonts w:ascii="Calibri" w:eastAsia="Calibri" w:hAnsi="Calibri"/>
                <w:color w:val="000000"/>
                <w:kern w:val="24"/>
                <w:sz w:val="21"/>
                <w:szCs w:val="21"/>
              </w:rPr>
              <w:t xml:space="preserve"> Operators</w:t>
            </w:r>
          </w:p>
        </w:tc>
      </w:tr>
      <w:tr w:rsidR="00E857E4" w:rsidRPr="0056306A" w14:paraId="03AAC277" w14:textId="77777777" w:rsidTr="00E857E4">
        <w:tc>
          <w:tcPr>
            <w:tcW w:w="1418" w:type="dxa"/>
          </w:tcPr>
          <w:p w14:paraId="1C0C7B08" w14:textId="225D167B" w:rsidR="00E857E4" w:rsidRPr="0056306A" w:rsidRDefault="00E857E4" w:rsidP="00E857E4">
            <w:pPr>
              <w:spacing w:after="120"/>
            </w:pPr>
            <w:r w:rsidRPr="0056306A">
              <w:rPr>
                <w:rFonts w:ascii="Calibri" w:eastAsia="Calibri" w:hAnsi="Calibri"/>
                <w:color w:val="000000"/>
                <w:kern w:val="24"/>
                <w:sz w:val="21"/>
                <w:szCs w:val="21"/>
              </w:rPr>
              <w:t>DR</w:t>
            </w:r>
          </w:p>
        </w:tc>
        <w:tc>
          <w:tcPr>
            <w:tcW w:w="7643" w:type="dxa"/>
          </w:tcPr>
          <w:p w14:paraId="25D8A7D1" w14:textId="6D85E581" w:rsidR="00E857E4" w:rsidRPr="0056306A" w:rsidRDefault="00E857E4" w:rsidP="00E857E4">
            <w:pPr>
              <w:spacing w:after="120"/>
            </w:pPr>
            <w:r w:rsidRPr="0056306A">
              <w:rPr>
                <w:rFonts w:ascii="Calibri" w:eastAsia="Calibri" w:hAnsi="Calibri"/>
                <w:color w:val="000000"/>
                <w:kern w:val="24"/>
                <w:sz w:val="21"/>
                <w:szCs w:val="21"/>
              </w:rPr>
              <w:t xml:space="preserve">Demand </w:t>
            </w:r>
            <w:r w:rsidR="0037425F">
              <w:rPr>
                <w:rFonts w:ascii="Calibri" w:eastAsia="Calibri" w:hAnsi="Calibri"/>
                <w:color w:val="000000"/>
                <w:kern w:val="24"/>
                <w:sz w:val="21"/>
                <w:szCs w:val="21"/>
              </w:rPr>
              <w:t>R</w:t>
            </w:r>
            <w:r w:rsidR="0037425F" w:rsidRPr="0056306A">
              <w:rPr>
                <w:rFonts w:ascii="Calibri" w:eastAsia="Calibri" w:hAnsi="Calibri"/>
                <w:color w:val="000000"/>
                <w:kern w:val="24"/>
                <w:sz w:val="21"/>
                <w:szCs w:val="21"/>
              </w:rPr>
              <w:t>esponse</w:t>
            </w:r>
          </w:p>
        </w:tc>
      </w:tr>
      <w:tr w:rsidR="00B24CE6" w:rsidRPr="0056306A" w14:paraId="266221EC" w14:textId="77777777" w:rsidTr="00E857E4">
        <w:tc>
          <w:tcPr>
            <w:tcW w:w="1418" w:type="dxa"/>
          </w:tcPr>
          <w:p w14:paraId="105F882B" w14:textId="57AA038A" w:rsidR="00B24CE6" w:rsidRPr="0056306A" w:rsidRDefault="00B24CE6"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DH</w:t>
            </w:r>
          </w:p>
        </w:tc>
        <w:tc>
          <w:tcPr>
            <w:tcW w:w="7643" w:type="dxa"/>
          </w:tcPr>
          <w:p w14:paraId="3BF7A42D" w14:textId="44C26EC3" w:rsidR="00B24CE6" w:rsidRPr="0056306A" w:rsidRDefault="00B24CE6"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 xml:space="preserve">District </w:t>
            </w:r>
            <w:r w:rsidR="0037425F">
              <w:rPr>
                <w:rFonts w:ascii="Calibri" w:eastAsia="Calibri" w:hAnsi="Calibri"/>
                <w:color w:val="000000"/>
                <w:kern w:val="24"/>
                <w:sz w:val="21"/>
                <w:szCs w:val="21"/>
              </w:rPr>
              <w:t>H</w:t>
            </w:r>
            <w:r w:rsidR="0037425F" w:rsidRPr="0056306A">
              <w:rPr>
                <w:rFonts w:ascii="Calibri" w:eastAsia="Calibri" w:hAnsi="Calibri"/>
                <w:color w:val="000000"/>
                <w:kern w:val="24"/>
                <w:sz w:val="21"/>
                <w:szCs w:val="21"/>
              </w:rPr>
              <w:t>eating</w:t>
            </w:r>
          </w:p>
        </w:tc>
      </w:tr>
      <w:tr w:rsidR="00E857E4" w:rsidRPr="0056306A" w14:paraId="77EE3C06" w14:textId="77777777" w:rsidTr="00E857E4">
        <w:tc>
          <w:tcPr>
            <w:tcW w:w="1418" w:type="dxa"/>
          </w:tcPr>
          <w:p w14:paraId="17DDD5DA" w14:textId="09C4BC3C" w:rsidR="00672C26" w:rsidRDefault="00672C26"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ELEC</w:t>
            </w:r>
          </w:p>
          <w:p w14:paraId="22207C26" w14:textId="1E82B81C" w:rsidR="00E857E4" w:rsidRPr="0056306A" w:rsidRDefault="00E857E4" w:rsidP="00E857E4">
            <w:pPr>
              <w:spacing w:after="120"/>
            </w:pPr>
            <w:r w:rsidRPr="0056306A">
              <w:rPr>
                <w:rFonts w:ascii="Calibri" w:eastAsia="Calibri" w:hAnsi="Calibri"/>
                <w:color w:val="000000"/>
                <w:kern w:val="24"/>
                <w:sz w:val="21"/>
                <w:szCs w:val="21"/>
              </w:rPr>
              <w:t>H2</w:t>
            </w:r>
          </w:p>
        </w:tc>
        <w:tc>
          <w:tcPr>
            <w:tcW w:w="7643" w:type="dxa"/>
          </w:tcPr>
          <w:p w14:paraId="497A8857" w14:textId="704D39AA" w:rsidR="00672C26" w:rsidRDefault="00672C26"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Deep electrification heat decarbonisation pathway</w:t>
            </w:r>
          </w:p>
          <w:p w14:paraId="534778B3" w14:textId="25E125F9" w:rsidR="00E857E4" w:rsidRPr="0056306A" w:rsidRDefault="00E857E4" w:rsidP="00E857E4">
            <w:pPr>
              <w:spacing w:after="120"/>
            </w:pPr>
            <w:r w:rsidRPr="0056306A">
              <w:rPr>
                <w:rFonts w:ascii="Calibri" w:eastAsia="Calibri" w:hAnsi="Calibri"/>
                <w:color w:val="000000"/>
                <w:kern w:val="24"/>
                <w:sz w:val="21"/>
                <w:szCs w:val="21"/>
              </w:rPr>
              <w:t>Hydrogen</w:t>
            </w:r>
            <w:r w:rsidR="00672C26">
              <w:rPr>
                <w:rFonts w:ascii="Calibri" w:eastAsia="Calibri" w:hAnsi="Calibri"/>
                <w:color w:val="000000"/>
                <w:kern w:val="24"/>
                <w:sz w:val="21"/>
                <w:szCs w:val="21"/>
              </w:rPr>
              <w:t xml:space="preserve"> heat decarbonisation pathway</w:t>
            </w:r>
          </w:p>
        </w:tc>
      </w:tr>
      <w:tr w:rsidR="00FF46EF" w:rsidRPr="0056306A" w14:paraId="78485FE9" w14:textId="77777777" w:rsidTr="00E857E4">
        <w:tc>
          <w:tcPr>
            <w:tcW w:w="1418" w:type="dxa"/>
          </w:tcPr>
          <w:p w14:paraId="5D5DEFFC" w14:textId="450DC9C8" w:rsidR="00FF46EF" w:rsidRPr="0056306A" w:rsidRDefault="00FF46E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HP</w:t>
            </w:r>
          </w:p>
        </w:tc>
        <w:tc>
          <w:tcPr>
            <w:tcW w:w="7643" w:type="dxa"/>
          </w:tcPr>
          <w:p w14:paraId="77CC6B96" w14:textId="0A6C57CD" w:rsidR="00FF46EF" w:rsidRPr="0056306A" w:rsidRDefault="00FF46E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Heat Pumps</w:t>
            </w:r>
          </w:p>
        </w:tc>
      </w:tr>
      <w:tr w:rsidR="0009594D" w:rsidRPr="0056306A" w14:paraId="0CA22ECC" w14:textId="77777777" w:rsidTr="00E857E4">
        <w:tc>
          <w:tcPr>
            <w:tcW w:w="1418" w:type="dxa"/>
          </w:tcPr>
          <w:p w14:paraId="13EF9A92" w14:textId="617C231C" w:rsidR="0009594D" w:rsidRPr="0056306A" w:rsidRDefault="0009594D"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IE</w:t>
            </w:r>
          </w:p>
        </w:tc>
        <w:tc>
          <w:tcPr>
            <w:tcW w:w="7643" w:type="dxa"/>
          </w:tcPr>
          <w:p w14:paraId="6A0994E6" w14:textId="135F32E6" w:rsidR="0009594D" w:rsidRPr="0056306A" w:rsidRDefault="0009594D"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Ireland</w:t>
            </w:r>
          </w:p>
        </w:tc>
      </w:tr>
      <w:tr w:rsidR="00FF46EF" w:rsidRPr="0056306A" w14:paraId="4C0BCFE1" w14:textId="77777777" w:rsidTr="00E857E4">
        <w:tc>
          <w:tcPr>
            <w:tcW w:w="1418" w:type="dxa"/>
          </w:tcPr>
          <w:p w14:paraId="6A51AD73" w14:textId="3E9216F3" w:rsidR="00FF46EF" w:rsidRPr="0056306A" w:rsidRDefault="00FF46E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IWES</w:t>
            </w:r>
          </w:p>
        </w:tc>
        <w:tc>
          <w:tcPr>
            <w:tcW w:w="7643" w:type="dxa"/>
          </w:tcPr>
          <w:p w14:paraId="5A7816B4" w14:textId="146DA767" w:rsidR="00FF46EF" w:rsidRPr="0056306A" w:rsidRDefault="00FF46E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Integrated Whole Energy System model</w:t>
            </w:r>
          </w:p>
        </w:tc>
      </w:tr>
      <w:tr w:rsidR="00E857E4" w:rsidRPr="0056306A" w14:paraId="738DE9F6" w14:textId="77777777" w:rsidTr="00E857E4">
        <w:tc>
          <w:tcPr>
            <w:tcW w:w="1418" w:type="dxa"/>
          </w:tcPr>
          <w:p w14:paraId="00A7C82E" w14:textId="4EC66C90" w:rsidR="00E857E4" w:rsidRPr="0056306A" w:rsidRDefault="00E857E4" w:rsidP="00E857E4">
            <w:pPr>
              <w:spacing w:after="120"/>
            </w:pPr>
            <w:proofErr w:type="spellStart"/>
            <w:r w:rsidRPr="0056306A">
              <w:rPr>
                <w:rFonts w:ascii="Calibri" w:eastAsia="Calibri" w:hAnsi="Calibri"/>
                <w:color w:val="000000"/>
                <w:kern w:val="24"/>
                <w:sz w:val="21"/>
                <w:szCs w:val="21"/>
              </w:rPr>
              <w:t>LCoE</w:t>
            </w:r>
            <w:proofErr w:type="spellEnd"/>
          </w:p>
        </w:tc>
        <w:tc>
          <w:tcPr>
            <w:tcW w:w="7643" w:type="dxa"/>
          </w:tcPr>
          <w:p w14:paraId="3FB73C37" w14:textId="72201411" w:rsidR="00E857E4" w:rsidRPr="0056306A" w:rsidRDefault="00E857E4" w:rsidP="00E857E4">
            <w:pPr>
              <w:spacing w:after="120"/>
            </w:pPr>
            <w:proofErr w:type="spellStart"/>
            <w:r w:rsidRPr="0056306A">
              <w:rPr>
                <w:rFonts w:ascii="Calibri" w:eastAsia="Calibri" w:hAnsi="Calibri"/>
                <w:color w:val="000000"/>
                <w:kern w:val="24"/>
                <w:sz w:val="21"/>
                <w:szCs w:val="21"/>
              </w:rPr>
              <w:t>Levelised</w:t>
            </w:r>
            <w:proofErr w:type="spellEnd"/>
            <w:r w:rsidRPr="0056306A">
              <w:rPr>
                <w:rFonts w:ascii="Calibri" w:eastAsia="Calibri" w:hAnsi="Calibri"/>
                <w:color w:val="000000"/>
                <w:kern w:val="24"/>
                <w:sz w:val="21"/>
                <w:szCs w:val="21"/>
              </w:rPr>
              <w:t xml:space="preserve"> </w:t>
            </w:r>
            <w:r w:rsidR="0037425F">
              <w:rPr>
                <w:rFonts w:ascii="Calibri" w:eastAsia="Calibri" w:hAnsi="Calibri"/>
                <w:color w:val="000000"/>
                <w:kern w:val="24"/>
                <w:sz w:val="21"/>
                <w:szCs w:val="21"/>
              </w:rPr>
              <w:t>C</w:t>
            </w:r>
            <w:r w:rsidR="0037425F" w:rsidRPr="0056306A">
              <w:rPr>
                <w:rFonts w:ascii="Calibri" w:eastAsia="Calibri" w:hAnsi="Calibri"/>
                <w:color w:val="000000"/>
                <w:kern w:val="24"/>
                <w:sz w:val="21"/>
                <w:szCs w:val="21"/>
              </w:rPr>
              <w:t xml:space="preserve">ost </w:t>
            </w:r>
            <w:r w:rsidRPr="0056306A">
              <w:rPr>
                <w:rFonts w:ascii="Calibri" w:eastAsia="Calibri" w:hAnsi="Calibri"/>
                <w:color w:val="000000"/>
                <w:kern w:val="24"/>
                <w:sz w:val="21"/>
                <w:szCs w:val="21"/>
              </w:rPr>
              <w:t>of electricity</w:t>
            </w:r>
          </w:p>
        </w:tc>
      </w:tr>
      <w:tr w:rsidR="00E857E4" w:rsidRPr="0056306A" w14:paraId="3CA1743C" w14:textId="77777777" w:rsidTr="00E857E4">
        <w:tc>
          <w:tcPr>
            <w:tcW w:w="1418" w:type="dxa"/>
          </w:tcPr>
          <w:p w14:paraId="7ACC9B45" w14:textId="77777777" w:rsidR="00E857E4" w:rsidRDefault="00E857E4"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PV</w:t>
            </w:r>
          </w:p>
          <w:p w14:paraId="561106C7" w14:textId="65658D8D" w:rsidR="00BD142F" w:rsidRDefault="00C74032"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S1</w:t>
            </w:r>
          </w:p>
          <w:p w14:paraId="117A45DC" w14:textId="67C8D853" w:rsidR="00E857E4" w:rsidRPr="0056306A" w:rsidRDefault="00BD142F"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S2</w:t>
            </w:r>
          </w:p>
        </w:tc>
        <w:tc>
          <w:tcPr>
            <w:tcW w:w="7643" w:type="dxa"/>
          </w:tcPr>
          <w:p w14:paraId="3DA94A31" w14:textId="77777777" w:rsidR="00E857E4" w:rsidRDefault="00E857E4" w:rsidP="00E857E4">
            <w:pPr>
              <w:spacing w:after="120"/>
              <w:rPr>
                <w:rFonts w:ascii="Calibri" w:eastAsia="Calibri" w:hAnsi="Calibri"/>
                <w:color w:val="000000"/>
                <w:kern w:val="24"/>
                <w:sz w:val="21"/>
                <w:szCs w:val="21"/>
              </w:rPr>
            </w:pPr>
            <w:r w:rsidRPr="0056306A">
              <w:rPr>
                <w:rFonts w:ascii="Calibri" w:eastAsia="Calibri" w:hAnsi="Calibri"/>
                <w:color w:val="000000"/>
                <w:kern w:val="24"/>
                <w:sz w:val="21"/>
                <w:szCs w:val="21"/>
              </w:rPr>
              <w:t>Photovoltaic</w:t>
            </w:r>
          </w:p>
          <w:p w14:paraId="33C1DB49" w14:textId="4FCBC8A9" w:rsidR="00C74032" w:rsidRDefault="00C74032"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Scheme 1</w:t>
            </w:r>
            <w:r w:rsidR="00BD142F">
              <w:rPr>
                <w:rFonts w:ascii="Calibri" w:eastAsia="Calibri" w:hAnsi="Calibri"/>
                <w:color w:val="000000"/>
                <w:kern w:val="24"/>
                <w:sz w:val="21"/>
                <w:szCs w:val="21"/>
              </w:rPr>
              <w:t xml:space="preserve">: Enhanced ESO and DSO coordination using a two-stage system </w:t>
            </w:r>
            <w:proofErr w:type="gramStart"/>
            <w:r w:rsidR="00BD142F">
              <w:rPr>
                <w:rFonts w:ascii="Calibri" w:eastAsia="Calibri" w:hAnsi="Calibri"/>
                <w:color w:val="000000"/>
                <w:kern w:val="24"/>
                <w:sz w:val="21"/>
                <w:szCs w:val="21"/>
              </w:rPr>
              <w:t>optimisation</w:t>
            </w:r>
            <w:proofErr w:type="gramEnd"/>
          </w:p>
          <w:p w14:paraId="1AD6C71D" w14:textId="13FF7D57" w:rsidR="00E857E4" w:rsidRPr="0056306A" w:rsidRDefault="00E24338" w:rsidP="00E857E4">
            <w:pPr>
              <w:spacing w:after="120"/>
              <w:rPr>
                <w:rFonts w:ascii="Calibri" w:eastAsia="Calibri" w:hAnsi="Calibri"/>
                <w:color w:val="000000"/>
                <w:kern w:val="24"/>
                <w:sz w:val="21"/>
                <w:szCs w:val="21"/>
              </w:rPr>
            </w:pPr>
            <w:r>
              <w:rPr>
                <w:rFonts w:ascii="Calibri" w:eastAsia="Calibri" w:hAnsi="Calibri"/>
                <w:color w:val="000000"/>
                <w:kern w:val="24"/>
                <w:sz w:val="21"/>
                <w:szCs w:val="21"/>
              </w:rPr>
              <w:t>Scheme 2: Distributed Flexibility Coordinator as an integrated approach</w:t>
            </w:r>
          </w:p>
        </w:tc>
      </w:tr>
    </w:tbl>
    <w:p w14:paraId="1DF835BF" w14:textId="328C5CA3" w:rsidR="00097A32" w:rsidRPr="0056306A" w:rsidRDefault="00097A32" w:rsidP="00903EB8">
      <w:pPr>
        <w:rPr>
          <w:rFonts w:asciiTheme="majorHAnsi" w:eastAsiaTheme="majorEastAsia" w:hAnsiTheme="majorHAnsi" w:cstheme="majorBidi"/>
          <w:color w:val="365F91" w:themeColor="accent1" w:themeShade="BF"/>
          <w:sz w:val="52"/>
          <w:szCs w:val="52"/>
        </w:rPr>
      </w:pPr>
      <w:r w:rsidRPr="0056306A">
        <w:br w:type="page"/>
      </w:r>
    </w:p>
    <w:p w14:paraId="1228D8BC" w14:textId="1064431A" w:rsidR="00A2616E" w:rsidRPr="0056306A" w:rsidRDefault="00A2616E" w:rsidP="00CF17A5">
      <w:pPr>
        <w:pStyle w:val="Heading1"/>
        <w:numPr>
          <w:ilvl w:val="0"/>
          <w:numId w:val="6"/>
        </w:numPr>
        <w:rPr>
          <w:lang w:val="en-GB"/>
        </w:rPr>
      </w:pPr>
      <w:bookmarkStart w:id="4" w:name="_Toc135829947"/>
      <w:r w:rsidRPr="0056306A">
        <w:rPr>
          <w:lang w:val="en-GB"/>
        </w:rPr>
        <w:lastRenderedPageBreak/>
        <w:t>Introduction</w:t>
      </w:r>
      <w:bookmarkEnd w:id="4"/>
    </w:p>
    <w:p w14:paraId="716F0520" w14:textId="77777777" w:rsidR="006521A4" w:rsidRPr="0056306A" w:rsidRDefault="006521A4" w:rsidP="006521A4"/>
    <w:p w14:paraId="4DA17B2C" w14:textId="24D5CFA4" w:rsidR="00351B6E" w:rsidRPr="001A76E9" w:rsidRDefault="001A76E9" w:rsidP="001A76E9">
      <w:pPr>
        <w:pStyle w:val="Heading2"/>
      </w:pPr>
      <w:bookmarkStart w:id="5" w:name="_Toc135829948"/>
      <w:r w:rsidRPr="001A76E9">
        <w:t>Background</w:t>
      </w:r>
      <w:bookmarkEnd w:id="5"/>
    </w:p>
    <w:p w14:paraId="3F58ED4E" w14:textId="76F26835" w:rsidR="00FD6DE8" w:rsidRPr="00FD6DE8" w:rsidRDefault="00FD6DE8" w:rsidP="00F7783E">
      <w:pPr>
        <w:spacing w:after="0"/>
        <w:rPr>
          <w:rFonts w:eastAsia="Times New Roman" w:cstheme="minorHAnsi"/>
          <w:lang w:eastAsia="en-GB"/>
        </w:rPr>
      </w:pPr>
      <w:r w:rsidRPr="00FD6DE8">
        <w:rPr>
          <w:rFonts w:cstheme="minorHAnsi"/>
        </w:rPr>
        <w:t xml:space="preserve">Increased Distributed Flexibility </w:t>
      </w:r>
      <w:r>
        <w:rPr>
          <w:rFonts w:cstheme="minorHAnsi"/>
        </w:rPr>
        <w:t>Res</w:t>
      </w:r>
      <w:r w:rsidRPr="00FD6DE8">
        <w:rPr>
          <w:rFonts w:cstheme="minorHAnsi"/>
        </w:rPr>
        <w:t>ources</w:t>
      </w:r>
      <w:r>
        <w:rPr>
          <w:rFonts w:cstheme="minorHAnsi"/>
        </w:rPr>
        <w:t xml:space="preserve"> (DFRs)</w:t>
      </w:r>
      <w:r w:rsidRPr="00FD6DE8">
        <w:rPr>
          <w:rFonts w:cstheme="minorHAnsi"/>
        </w:rPr>
        <w:t xml:space="preserve"> </w:t>
      </w:r>
      <w:r>
        <w:rPr>
          <w:rFonts w:cstheme="minorHAnsi"/>
        </w:rPr>
        <w:t xml:space="preserve">from small and medium-scale generators, energy storage, and demand response technologies </w:t>
      </w:r>
      <w:r w:rsidRPr="00FD6DE8">
        <w:rPr>
          <w:rFonts w:cstheme="minorHAnsi"/>
        </w:rPr>
        <w:t xml:space="preserve">connected at various distribution network voltage levels create opportunities and challenges for the ongoing energy system transformation. </w:t>
      </w:r>
      <w:r w:rsidRPr="00FD6DE8">
        <w:rPr>
          <w:rFonts w:eastAsia="Times New Roman" w:cstheme="minorHAnsi"/>
          <w:lang w:eastAsia="en-GB"/>
        </w:rPr>
        <w:t xml:space="preserve">Coordination between the </w:t>
      </w:r>
      <w:r w:rsidR="0037425F">
        <w:rPr>
          <w:rFonts w:eastAsia="Times New Roman" w:cstheme="minorHAnsi"/>
          <w:lang w:eastAsia="en-GB"/>
        </w:rPr>
        <w:t>E</w:t>
      </w:r>
      <w:r w:rsidR="0037425F" w:rsidRPr="00FD6DE8">
        <w:rPr>
          <w:rFonts w:eastAsia="Times New Roman" w:cstheme="minorHAnsi"/>
          <w:lang w:eastAsia="en-GB"/>
        </w:rPr>
        <w:t xml:space="preserve">lectricity </w:t>
      </w:r>
      <w:r w:rsidR="0037425F">
        <w:rPr>
          <w:rFonts w:eastAsia="Times New Roman" w:cstheme="minorHAnsi"/>
          <w:lang w:eastAsia="en-GB"/>
        </w:rPr>
        <w:t>S</w:t>
      </w:r>
      <w:r w:rsidR="0037425F" w:rsidRPr="00FD6DE8">
        <w:rPr>
          <w:rFonts w:eastAsia="Times New Roman" w:cstheme="minorHAnsi"/>
          <w:lang w:eastAsia="en-GB"/>
        </w:rPr>
        <w:t xml:space="preserve">ystem </w:t>
      </w:r>
      <w:r w:rsidR="0037425F">
        <w:rPr>
          <w:rFonts w:eastAsia="Times New Roman" w:cstheme="minorHAnsi"/>
          <w:lang w:eastAsia="en-GB"/>
        </w:rPr>
        <w:t>O</w:t>
      </w:r>
      <w:r w:rsidR="0037425F" w:rsidRPr="00FD6DE8">
        <w:rPr>
          <w:rFonts w:eastAsia="Times New Roman" w:cstheme="minorHAnsi"/>
          <w:lang w:eastAsia="en-GB"/>
        </w:rPr>
        <w:t xml:space="preserve">perator </w:t>
      </w:r>
      <w:r w:rsidRPr="00FD6DE8">
        <w:rPr>
          <w:rFonts w:eastAsia="Times New Roman" w:cstheme="minorHAnsi"/>
          <w:lang w:eastAsia="en-GB"/>
        </w:rPr>
        <w:t xml:space="preserve">(ESO) and the </w:t>
      </w:r>
      <w:r w:rsidR="0037425F">
        <w:rPr>
          <w:rFonts w:eastAsia="Times New Roman" w:cstheme="minorHAnsi"/>
          <w:lang w:eastAsia="en-GB"/>
        </w:rPr>
        <w:t>D</w:t>
      </w:r>
      <w:r w:rsidR="0037425F" w:rsidRPr="00FD6DE8">
        <w:rPr>
          <w:rFonts w:eastAsia="Times New Roman" w:cstheme="minorHAnsi"/>
          <w:lang w:eastAsia="en-GB"/>
        </w:rPr>
        <w:t xml:space="preserve">istribution </w:t>
      </w:r>
      <w:r w:rsidR="0037425F">
        <w:rPr>
          <w:rFonts w:eastAsia="Times New Roman" w:cstheme="minorHAnsi"/>
          <w:lang w:eastAsia="en-GB"/>
        </w:rPr>
        <w:t>S</w:t>
      </w:r>
      <w:r w:rsidR="0037425F" w:rsidRPr="00FD6DE8">
        <w:rPr>
          <w:rFonts w:eastAsia="Times New Roman" w:cstheme="minorHAnsi"/>
          <w:lang w:eastAsia="en-GB"/>
        </w:rPr>
        <w:t xml:space="preserve">ystem </w:t>
      </w:r>
      <w:r w:rsidR="0037425F">
        <w:rPr>
          <w:rFonts w:eastAsia="Times New Roman" w:cstheme="minorHAnsi"/>
          <w:lang w:eastAsia="en-GB"/>
        </w:rPr>
        <w:t>O</w:t>
      </w:r>
      <w:r w:rsidR="0037425F" w:rsidRPr="00FD6DE8">
        <w:rPr>
          <w:rFonts w:eastAsia="Times New Roman" w:cstheme="minorHAnsi"/>
          <w:lang w:eastAsia="en-GB"/>
        </w:rPr>
        <w:t xml:space="preserve">perator </w:t>
      </w:r>
      <w:r w:rsidRPr="00FD6DE8">
        <w:rPr>
          <w:rFonts w:eastAsia="Times New Roman" w:cstheme="minorHAnsi"/>
          <w:lang w:eastAsia="en-GB"/>
        </w:rPr>
        <w:t>(DSO) is crucial for the efficient and reliable operation of the overall electricity grid.</w:t>
      </w:r>
      <w:r>
        <w:rPr>
          <w:rFonts w:eastAsia="Times New Roman" w:cstheme="minorHAnsi"/>
          <w:lang w:eastAsia="en-GB"/>
        </w:rPr>
        <w:t xml:space="preserve"> </w:t>
      </w:r>
      <w:r w:rsidRPr="00FD6DE8">
        <w:rPr>
          <w:rFonts w:eastAsia="Times New Roman" w:cstheme="minorHAnsi"/>
          <w:lang w:eastAsia="en-GB"/>
        </w:rPr>
        <w:t>Here are several reasons why their coordination is important:</w:t>
      </w:r>
    </w:p>
    <w:p w14:paraId="51949D2E" w14:textId="339641E9" w:rsidR="00FD6DE8" w:rsidRPr="00FD6DE8" w:rsidRDefault="00FD6DE8" w:rsidP="00F7783E">
      <w:pPr>
        <w:numPr>
          <w:ilvl w:val="0"/>
          <w:numId w:val="13"/>
        </w:numPr>
        <w:spacing w:before="100" w:beforeAutospacing="1" w:after="100" w:afterAutospacing="1"/>
        <w:rPr>
          <w:rFonts w:eastAsia="Times New Roman" w:cstheme="minorHAnsi"/>
          <w:lang w:eastAsia="en-GB"/>
        </w:rPr>
      </w:pPr>
      <w:r w:rsidRPr="00FD6DE8">
        <w:rPr>
          <w:rFonts w:eastAsia="Times New Roman" w:cstheme="minorHAnsi"/>
          <w:lang w:eastAsia="en-GB"/>
        </w:rPr>
        <w:t xml:space="preserve">Grid </w:t>
      </w:r>
      <w:r>
        <w:rPr>
          <w:rFonts w:eastAsia="Times New Roman" w:cstheme="minorHAnsi"/>
          <w:lang w:eastAsia="en-GB"/>
        </w:rPr>
        <w:t xml:space="preserve">Security and </w:t>
      </w:r>
      <w:r w:rsidRPr="00FD6DE8">
        <w:rPr>
          <w:rFonts w:eastAsia="Times New Roman" w:cstheme="minorHAnsi"/>
          <w:lang w:eastAsia="en-GB"/>
        </w:rPr>
        <w:t>Stability: The ESO is responsible for maintaining the</w:t>
      </w:r>
      <w:r>
        <w:rPr>
          <w:rFonts w:eastAsia="Times New Roman" w:cstheme="minorHAnsi"/>
          <w:lang w:eastAsia="en-GB"/>
        </w:rPr>
        <w:t xml:space="preserve"> security and</w:t>
      </w:r>
      <w:r w:rsidRPr="00FD6DE8">
        <w:rPr>
          <w:rFonts w:eastAsia="Times New Roman" w:cstheme="minorHAnsi"/>
          <w:lang w:eastAsia="en-GB"/>
        </w:rPr>
        <w:t xml:space="preserve"> stability of the high-voltage</w:t>
      </w:r>
      <w:r>
        <w:rPr>
          <w:rFonts w:eastAsia="Times New Roman" w:cstheme="minorHAnsi"/>
          <w:lang w:eastAsia="en-GB"/>
        </w:rPr>
        <w:t xml:space="preserve"> national</w:t>
      </w:r>
      <w:r w:rsidRPr="00FD6DE8">
        <w:rPr>
          <w:rFonts w:eastAsia="Times New Roman" w:cstheme="minorHAnsi"/>
          <w:lang w:eastAsia="en-GB"/>
        </w:rPr>
        <w:t xml:space="preserve"> transmission system, while the DSO manages the lower-voltage </w:t>
      </w:r>
      <w:r>
        <w:rPr>
          <w:rFonts w:eastAsia="Times New Roman" w:cstheme="minorHAnsi"/>
          <w:lang w:eastAsia="en-GB"/>
        </w:rPr>
        <w:t xml:space="preserve">regional </w:t>
      </w:r>
      <w:r w:rsidRPr="00FD6DE8">
        <w:rPr>
          <w:rFonts w:eastAsia="Times New Roman" w:cstheme="minorHAnsi"/>
          <w:lang w:eastAsia="en-GB"/>
        </w:rPr>
        <w:t xml:space="preserve">distribution network that connects directly to consumers. </w:t>
      </w:r>
      <w:r w:rsidRPr="00FD6DE8">
        <w:rPr>
          <w:rFonts w:eastAsia="Times New Roman" w:cstheme="minorHAnsi"/>
          <w:i/>
          <w:iCs/>
          <w:lang w:eastAsia="en-GB"/>
        </w:rPr>
        <w:t>These two parts of the grid are interconnected, and any imbalances or disruptions in one can affect the other.</w:t>
      </w:r>
      <w:r w:rsidRPr="00FD6DE8">
        <w:rPr>
          <w:rFonts w:eastAsia="Times New Roman" w:cstheme="minorHAnsi"/>
          <w:lang w:eastAsia="en-GB"/>
        </w:rPr>
        <w:t xml:space="preserve"> Effective coordination between the ESO and DSO ensures the grid operates within safe limits and prevents cascading failures.</w:t>
      </w:r>
    </w:p>
    <w:p w14:paraId="4D5ED15D" w14:textId="7B220193" w:rsidR="00FD6DE8" w:rsidRPr="00FD6DE8" w:rsidRDefault="00FD6DE8" w:rsidP="00F7783E">
      <w:pPr>
        <w:numPr>
          <w:ilvl w:val="0"/>
          <w:numId w:val="13"/>
        </w:numPr>
        <w:spacing w:before="100" w:beforeAutospacing="1" w:after="100" w:afterAutospacing="1"/>
        <w:rPr>
          <w:rFonts w:eastAsia="Times New Roman" w:cstheme="minorHAnsi"/>
          <w:lang w:eastAsia="en-GB"/>
        </w:rPr>
      </w:pPr>
      <w:r w:rsidRPr="00FD6DE8">
        <w:rPr>
          <w:rFonts w:eastAsia="Times New Roman" w:cstheme="minorHAnsi"/>
          <w:lang w:eastAsia="en-GB"/>
        </w:rPr>
        <w:t xml:space="preserve">Demand and Supply Balancing: The ESO manages </w:t>
      </w:r>
      <w:r>
        <w:rPr>
          <w:rFonts w:eastAsia="Times New Roman" w:cstheme="minorHAnsi"/>
          <w:lang w:eastAsia="en-GB"/>
        </w:rPr>
        <w:t>and balances the bulk electricity supply</w:t>
      </w:r>
      <w:r w:rsidRPr="00FD6DE8">
        <w:rPr>
          <w:rFonts w:eastAsia="Times New Roman" w:cstheme="minorHAnsi"/>
          <w:lang w:eastAsia="en-GB"/>
        </w:rPr>
        <w:t xml:space="preserve"> with the overall demand. On the other hand, the DSO handles the local distribution network and manages the electricity flows at a smaller scale. By coordinating their efforts, the ESO and DSO can optimize the utilization of generation resources, avoid congestion in the grid, and ensure that supply matches demand in real-time.</w:t>
      </w:r>
    </w:p>
    <w:p w14:paraId="4992CCF4" w14:textId="6AEE06A3" w:rsidR="00FD6DE8" w:rsidRPr="00FD6DE8" w:rsidRDefault="00FD6DE8" w:rsidP="00F7783E">
      <w:pPr>
        <w:numPr>
          <w:ilvl w:val="0"/>
          <w:numId w:val="13"/>
        </w:numPr>
        <w:spacing w:before="100" w:beforeAutospacing="1" w:after="100" w:afterAutospacing="1"/>
        <w:rPr>
          <w:rFonts w:eastAsia="Times New Roman" w:cstheme="minorHAnsi"/>
          <w:lang w:eastAsia="en-GB"/>
        </w:rPr>
      </w:pPr>
      <w:r w:rsidRPr="00FD6DE8">
        <w:rPr>
          <w:rFonts w:eastAsia="Times New Roman" w:cstheme="minorHAnsi"/>
          <w:lang w:eastAsia="en-GB"/>
        </w:rPr>
        <w:t xml:space="preserve">Integration of Renewable Energy: As renewable energy sources like wind and solar power become more prevalent, the coordination between the ESO and DSO becomes even more crucial. </w:t>
      </w:r>
      <w:r>
        <w:rPr>
          <w:rFonts w:eastAsia="Times New Roman" w:cstheme="minorHAnsi"/>
          <w:lang w:eastAsia="en-GB"/>
        </w:rPr>
        <w:t>Some r</w:t>
      </w:r>
      <w:r w:rsidRPr="00FD6DE8">
        <w:rPr>
          <w:rFonts w:eastAsia="Times New Roman" w:cstheme="minorHAnsi"/>
          <w:lang w:eastAsia="en-GB"/>
        </w:rPr>
        <w:t xml:space="preserve">enewable energy generation is decentralized and connected to the distribution grid, requiring the DSO to manage the intermittent and variable power flows. </w:t>
      </w:r>
      <w:r>
        <w:rPr>
          <w:rFonts w:eastAsia="Times New Roman" w:cstheme="minorHAnsi"/>
          <w:lang w:eastAsia="en-GB"/>
        </w:rPr>
        <w:t xml:space="preserve">At the same time, remote renewable sources such as offshore wind in the North Sea require sufficient balancing sources from distributed loads. </w:t>
      </w:r>
      <w:r w:rsidRPr="00FD6DE8">
        <w:rPr>
          <w:rFonts w:eastAsia="Times New Roman" w:cstheme="minorHAnsi"/>
          <w:lang w:eastAsia="en-GB"/>
        </w:rPr>
        <w:t xml:space="preserve">The ESO </w:t>
      </w:r>
      <w:r>
        <w:rPr>
          <w:rFonts w:eastAsia="Times New Roman" w:cstheme="minorHAnsi"/>
          <w:lang w:eastAsia="en-GB"/>
        </w:rPr>
        <w:t>and DSOs must monitor these distributed resources and balance their generation with the</w:t>
      </w:r>
      <w:r w:rsidRPr="00FD6DE8">
        <w:rPr>
          <w:rFonts w:eastAsia="Times New Roman" w:cstheme="minorHAnsi"/>
          <w:lang w:eastAsia="en-GB"/>
        </w:rPr>
        <w:t xml:space="preserve"> grid demand. Close coordination ensures smooth integration and maximizes the utilization of renewable energy sources.</w:t>
      </w:r>
    </w:p>
    <w:p w14:paraId="1FCD8343" w14:textId="2E595545" w:rsidR="00FD6DE8" w:rsidRPr="00FD6DE8" w:rsidRDefault="00FD6DE8" w:rsidP="00F7783E">
      <w:pPr>
        <w:numPr>
          <w:ilvl w:val="0"/>
          <w:numId w:val="13"/>
        </w:numPr>
        <w:spacing w:before="100" w:beforeAutospacing="1" w:after="100" w:afterAutospacing="1"/>
        <w:rPr>
          <w:rFonts w:eastAsia="Times New Roman" w:cstheme="minorHAnsi"/>
          <w:lang w:eastAsia="en-GB"/>
        </w:rPr>
      </w:pPr>
      <w:r w:rsidRPr="00FD6DE8">
        <w:rPr>
          <w:rFonts w:eastAsia="Times New Roman" w:cstheme="minorHAnsi"/>
          <w:lang w:eastAsia="en-GB"/>
        </w:rPr>
        <w:t xml:space="preserve">Grid Planning and Investment: The ESO and DSO </w:t>
      </w:r>
      <w:r>
        <w:rPr>
          <w:rFonts w:eastAsia="Times New Roman" w:cstheme="minorHAnsi"/>
          <w:lang w:eastAsia="en-GB"/>
        </w:rPr>
        <w:t>should</w:t>
      </w:r>
      <w:r w:rsidRPr="00FD6DE8">
        <w:rPr>
          <w:rFonts w:eastAsia="Times New Roman" w:cstheme="minorHAnsi"/>
          <w:lang w:eastAsia="en-GB"/>
        </w:rPr>
        <w:t xml:space="preserve"> collaborate on grid planning and investment decisions. The ESO considers the long-term development of the high-voltage transmission system, including new interconnections and large-scale generation projects. The DSO focuses on the local distribution network and considers factors like load growth, decentralized generation, and infrastructure upgrades. Coordination between the two ensures that the grid infrastructure is developed in a coordinated and cost-effective manner, avoiding duplication of efforts and unnecessary investments.</w:t>
      </w:r>
    </w:p>
    <w:p w14:paraId="2A3153EB" w14:textId="77777777" w:rsidR="00FD6DE8" w:rsidRPr="00FD6DE8" w:rsidRDefault="00FD6DE8" w:rsidP="00F7783E">
      <w:pPr>
        <w:numPr>
          <w:ilvl w:val="0"/>
          <w:numId w:val="13"/>
        </w:numPr>
        <w:spacing w:before="100" w:beforeAutospacing="1" w:after="100" w:afterAutospacing="1"/>
        <w:rPr>
          <w:rFonts w:eastAsia="Times New Roman" w:cstheme="minorHAnsi"/>
          <w:lang w:eastAsia="en-GB"/>
        </w:rPr>
      </w:pPr>
      <w:r w:rsidRPr="00FD6DE8">
        <w:rPr>
          <w:rFonts w:eastAsia="Times New Roman" w:cstheme="minorHAnsi"/>
          <w:lang w:eastAsia="en-GB"/>
        </w:rPr>
        <w:t>Outage Management and Restoration: During grid disturbances or outages, the ESO and DSO must work together to identify the source of the problem, isolate affected areas, and restore power as quickly as possible. Effective coordination enables efficient communication, rapid response, and optimal utilization of resources, minimizing the duration and impact of outages on consumers.</w:t>
      </w:r>
    </w:p>
    <w:p w14:paraId="416D2926" w14:textId="7305703F" w:rsidR="00FD6DE8" w:rsidRPr="00FD6DE8" w:rsidRDefault="00FD6DE8" w:rsidP="00F7783E">
      <w:pPr>
        <w:numPr>
          <w:ilvl w:val="0"/>
          <w:numId w:val="13"/>
        </w:numPr>
        <w:spacing w:before="100" w:beforeAutospacing="1" w:after="100" w:afterAutospacing="1"/>
        <w:rPr>
          <w:rFonts w:eastAsia="Times New Roman" w:cstheme="minorHAnsi"/>
          <w:lang w:eastAsia="en-GB"/>
        </w:rPr>
      </w:pPr>
      <w:r w:rsidRPr="00FD6DE8">
        <w:rPr>
          <w:rFonts w:eastAsia="Times New Roman" w:cstheme="minorHAnsi"/>
          <w:lang w:eastAsia="en-GB"/>
        </w:rPr>
        <w:lastRenderedPageBreak/>
        <w:t xml:space="preserve">Market Operation: </w:t>
      </w:r>
      <w:r w:rsidR="001551C3">
        <w:rPr>
          <w:rFonts w:eastAsia="Times New Roman" w:cstheme="minorHAnsi"/>
          <w:lang w:eastAsia="en-GB"/>
        </w:rPr>
        <w:t>Stronger ESO and DSO coordination is vital for market operations in deregulated electricity markets, where multiple entities generate and supply electricity or energy arbitrages and flexibility as ancillary service</w:t>
      </w:r>
      <w:r w:rsidRPr="00FD6DE8">
        <w:rPr>
          <w:rFonts w:eastAsia="Times New Roman" w:cstheme="minorHAnsi"/>
          <w:lang w:eastAsia="en-GB"/>
        </w:rPr>
        <w:t>s. The ESO manages the wholesale market and ensures fair competition, while the DSO facilitates the connection of new market participants, manages grid access, and enables efficient retail competition. Seamless coordination between the two promotes market efficiency and enhances the overall functioning of the electricity market.</w:t>
      </w:r>
    </w:p>
    <w:p w14:paraId="2E3615AB" w14:textId="02F997E0" w:rsidR="00FD6DE8" w:rsidRPr="00FD6DE8" w:rsidRDefault="00864B96" w:rsidP="00F7783E">
      <w:pPr>
        <w:spacing w:before="100" w:beforeAutospacing="1" w:after="100" w:afterAutospacing="1"/>
        <w:rPr>
          <w:rFonts w:eastAsia="Times New Roman" w:cstheme="minorHAnsi"/>
          <w:lang w:eastAsia="en-GB"/>
        </w:rPr>
      </w:pPr>
      <w:r>
        <w:t xml:space="preserve">Coordinating DERs to provide grid-flexibility services to both transmission and distribution networks will </w:t>
      </w:r>
      <w:r w:rsidR="006D336D">
        <w:t>require significant data exchange and synergic decision-making processes between ESO and DSO that can be challenging given the different objectives those entities may have while trying to minimise the overall cost from the whole-system perspective.</w:t>
      </w:r>
      <w:r w:rsidR="003E6EBE">
        <w:t xml:space="preserve"> </w:t>
      </w:r>
    </w:p>
    <w:p w14:paraId="35C42E56" w14:textId="15CDC297" w:rsidR="001D23FC" w:rsidRPr="0056306A" w:rsidRDefault="001D23FC" w:rsidP="00903EB8">
      <w:pPr>
        <w:pStyle w:val="Heading2"/>
      </w:pPr>
      <w:bookmarkStart w:id="6" w:name="_Toc135829949"/>
      <w:r w:rsidRPr="0056306A">
        <w:t>Objective</w:t>
      </w:r>
      <w:r w:rsidR="00D14973" w:rsidRPr="0056306A">
        <w:t>s</w:t>
      </w:r>
      <w:bookmarkEnd w:id="6"/>
    </w:p>
    <w:p w14:paraId="1CD45C61" w14:textId="559D2D43" w:rsidR="003E6EBE" w:rsidRDefault="003E6EBE" w:rsidP="00F32B63">
      <w:pPr>
        <w:pStyle w:val="BodyText0"/>
      </w:pPr>
      <w:r>
        <w:t xml:space="preserve">In this context, </w:t>
      </w:r>
      <w:r w:rsidR="007861FA">
        <w:t>this report aims to analyse the techno-economic assessment and system implications of alternative</w:t>
      </w:r>
      <w:r>
        <w:t xml:space="preserve"> ESO-DSCO coordination approaches</w:t>
      </w:r>
      <w:r w:rsidR="007861FA">
        <w:t xml:space="preserve"> on Great Britain</w:t>
      </w:r>
      <w:r w:rsidR="00CF17A5">
        <w:t>'</w:t>
      </w:r>
      <w:r w:rsidR="007861FA">
        <w:t xml:space="preserve">s </w:t>
      </w:r>
      <w:r w:rsidR="00CF17A5">
        <w:t xml:space="preserve">future </w:t>
      </w:r>
      <w:r w:rsidR="007861FA">
        <w:t>energy system under different conditions to understand the value of improving ESO-DSO coordination.</w:t>
      </w:r>
      <w:r w:rsidR="00CF17A5">
        <w:t xml:space="preserve"> Some works have been carried out to enable this type of analysis, including:</w:t>
      </w:r>
    </w:p>
    <w:p w14:paraId="2E6FEC55" w14:textId="03174756" w:rsidR="00CF17A5" w:rsidRPr="00CF17A5" w:rsidRDefault="00CF17A5" w:rsidP="000A302F">
      <w:pPr>
        <w:numPr>
          <w:ilvl w:val="0"/>
          <w:numId w:val="14"/>
        </w:numPr>
        <w:spacing w:before="100" w:beforeAutospacing="1" w:after="100" w:afterAutospacing="1"/>
        <w:rPr>
          <w:rFonts w:eastAsia="Times New Roman" w:cstheme="minorHAnsi"/>
          <w:lang w:eastAsia="en-GB"/>
        </w:rPr>
      </w:pPr>
      <w:r w:rsidRPr="00CF17A5">
        <w:rPr>
          <w:rFonts w:eastAsia="Times New Roman" w:cstheme="minorHAnsi"/>
          <w:lang w:eastAsia="en-GB"/>
        </w:rPr>
        <w:t>Enhan</w:t>
      </w:r>
      <w:r>
        <w:rPr>
          <w:rFonts w:eastAsia="Times New Roman" w:cstheme="minorHAnsi"/>
          <w:lang w:eastAsia="en-GB"/>
        </w:rPr>
        <w:t xml:space="preserve">cement of </w:t>
      </w:r>
      <w:r w:rsidRPr="00CF17A5">
        <w:rPr>
          <w:rFonts w:eastAsia="Times New Roman" w:cstheme="minorHAnsi"/>
          <w:lang w:eastAsia="en-GB"/>
        </w:rPr>
        <w:t xml:space="preserve">the </w:t>
      </w:r>
      <w:r>
        <w:rPr>
          <w:rFonts w:eastAsia="Times New Roman" w:cstheme="minorHAnsi"/>
          <w:lang w:eastAsia="en-GB"/>
        </w:rPr>
        <w:t>Integrated Whole Energy System (IWES) model</w:t>
      </w:r>
      <w:r w:rsidRPr="00CF17A5">
        <w:rPr>
          <w:rFonts w:eastAsia="Times New Roman" w:cstheme="minorHAnsi"/>
          <w:lang w:eastAsia="en-GB"/>
        </w:rPr>
        <w:t xml:space="preserve"> to represent the developed ESO/DSO coordination </w:t>
      </w:r>
      <w:proofErr w:type="gramStart"/>
      <w:r w:rsidRPr="00CF17A5">
        <w:rPr>
          <w:rFonts w:eastAsia="Times New Roman" w:cstheme="minorHAnsi"/>
          <w:lang w:eastAsia="en-GB"/>
        </w:rPr>
        <w:t>schemes</w:t>
      </w:r>
      <w:r>
        <w:rPr>
          <w:rFonts w:eastAsia="Times New Roman" w:cstheme="minorHAnsi"/>
          <w:lang w:eastAsia="en-GB"/>
        </w:rPr>
        <w:t>;</w:t>
      </w:r>
      <w:proofErr w:type="gramEnd"/>
    </w:p>
    <w:p w14:paraId="16CA4ED3" w14:textId="174F962C" w:rsidR="00CF17A5" w:rsidRPr="00CF17A5" w:rsidRDefault="00CF17A5" w:rsidP="000A302F">
      <w:pPr>
        <w:numPr>
          <w:ilvl w:val="0"/>
          <w:numId w:val="14"/>
        </w:numPr>
        <w:spacing w:before="100" w:beforeAutospacing="1" w:after="100" w:afterAutospacing="1"/>
        <w:rPr>
          <w:rFonts w:eastAsia="Times New Roman" w:cstheme="minorHAnsi"/>
          <w:lang w:eastAsia="en-GB"/>
        </w:rPr>
      </w:pPr>
      <w:r w:rsidRPr="00CF17A5">
        <w:rPr>
          <w:rFonts w:eastAsia="Times New Roman" w:cstheme="minorHAnsi"/>
          <w:lang w:eastAsia="en-GB"/>
        </w:rPr>
        <w:t>Defin</w:t>
      </w:r>
      <w:r>
        <w:rPr>
          <w:rFonts w:eastAsia="Times New Roman" w:cstheme="minorHAnsi"/>
          <w:lang w:eastAsia="en-GB"/>
        </w:rPr>
        <w:t xml:space="preserve">ing the simulation scenarios to reflect the </w:t>
      </w:r>
      <w:r w:rsidRPr="00CF17A5">
        <w:rPr>
          <w:rFonts w:eastAsia="Times New Roman" w:cstheme="minorHAnsi"/>
          <w:lang w:eastAsia="en-GB"/>
        </w:rPr>
        <w:t xml:space="preserve">use cases </w:t>
      </w:r>
      <w:r>
        <w:rPr>
          <w:rFonts w:eastAsia="Times New Roman" w:cstheme="minorHAnsi"/>
          <w:lang w:eastAsia="en-GB"/>
        </w:rPr>
        <w:t>for assessing</w:t>
      </w:r>
      <w:r w:rsidRPr="00CF17A5">
        <w:rPr>
          <w:rFonts w:eastAsia="Times New Roman" w:cstheme="minorHAnsi"/>
          <w:lang w:eastAsia="en-GB"/>
        </w:rPr>
        <w:t xml:space="preserve"> the coordination schemes. The</w:t>
      </w:r>
      <w:r>
        <w:rPr>
          <w:rFonts w:eastAsia="Times New Roman" w:cstheme="minorHAnsi"/>
          <w:lang w:eastAsia="en-GB"/>
        </w:rPr>
        <w:t xml:space="preserve"> system used for the studies considers</w:t>
      </w:r>
      <w:r w:rsidRPr="00CF17A5">
        <w:rPr>
          <w:rFonts w:eastAsia="Times New Roman" w:cstheme="minorHAnsi"/>
          <w:lang w:eastAsia="en-GB"/>
        </w:rPr>
        <w:t xml:space="preserve"> particular geographic locations of the networks, specific types of flexibility services, </w:t>
      </w:r>
      <w:r>
        <w:rPr>
          <w:rFonts w:eastAsia="Times New Roman" w:cstheme="minorHAnsi"/>
          <w:lang w:eastAsia="en-GB"/>
        </w:rPr>
        <w:t xml:space="preserve">and </w:t>
      </w:r>
      <w:r w:rsidRPr="00CF17A5">
        <w:rPr>
          <w:rFonts w:eastAsia="Times New Roman" w:cstheme="minorHAnsi"/>
          <w:lang w:eastAsia="en-GB"/>
        </w:rPr>
        <w:t xml:space="preserve">different technology types of flexibility </w:t>
      </w:r>
      <w:proofErr w:type="gramStart"/>
      <w:r w:rsidRPr="00CF17A5">
        <w:rPr>
          <w:rFonts w:eastAsia="Times New Roman" w:cstheme="minorHAnsi"/>
          <w:lang w:eastAsia="en-GB"/>
        </w:rPr>
        <w:t>services</w:t>
      </w:r>
      <w:r>
        <w:rPr>
          <w:rFonts w:eastAsia="Times New Roman" w:cstheme="minorHAnsi"/>
          <w:lang w:eastAsia="en-GB"/>
        </w:rPr>
        <w:t>;</w:t>
      </w:r>
      <w:proofErr w:type="gramEnd"/>
    </w:p>
    <w:p w14:paraId="1C6C5E27" w14:textId="38CC5E63" w:rsidR="00CF17A5" w:rsidRDefault="00CF17A5" w:rsidP="000A302F">
      <w:pPr>
        <w:numPr>
          <w:ilvl w:val="0"/>
          <w:numId w:val="14"/>
        </w:numPr>
        <w:spacing w:before="100" w:beforeAutospacing="1" w:after="100" w:afterAutospacing="1"/>
        <w:rPr>
          <w:rFonts w:eastAsia="Times New Roman" w:cstheme="minorHAnsi"/>
          <w:lang w:eastAsia="en-GB"/>
        </w:rPr>
      </w:pPr>
      <w:r w:rsidRPr="00CF17A5">
        <w:rPr>
          <w:rFonts w:eastAsia="Times New Roman" w:cstheme="minorHAnsi"/>
          <w:lang w:eastAsia="en-GB"/>
        </w:rPr>
        <w:t>Map</w:t>
      </w:r>
      <w:r>
        <w:rPr>
          <w:rFonts w:eastAsia="Times New Roman" w:cstheme="minorHAnsi"/>
          <w:lang w:eastAsia="en-GB"/>
        </w:rPr>
        <w:t>ping</w:t>
      </w:r>
      <w:r w:rsidRPr="00CF17A5">
        <w:rPr>
          <w:rFonts w:eastAsia="Times New Roman" w:cstheme="minorHAnsi"/>
          <w:lang w:eastAsia="en-GB"/>
        </w:rPr>
        <w:t xml:space="preserve"> the use cases onto the model developed to quantify and assess the costs and benefits associated with </w:t>
      </w:r>
      <w:r>
        <w:rPr>
          <w:rFonts w:eastAsia="Times New Roman" w:cstheme="minorHAnsi"/>
          <w:lang w:eastAsia="en-GB"/>
        </w:rPr>
        <w:t>the techno-economic</w:t>
      </w:r>
      <w:r w:rsidRPr="00CF17A5">
        <w:rPr>
          <w:rFonts w:eastAsia="Times New Roman" w:cstheme="minorHAnsi"/>
          <w:lang w:eastAsia="en-GB"/>
        </w:rPr>
        <w:t xml:space="preserve"> performance of the different ESO/DSO coordination </w:t>
      </w:r>
      <w:proofErr w:type="gramStart"/>
      <w:r w:rsidRPr="00CF17A5">
        <w:rPr>
          <w:rFonts w:eastAsia="Times New Roman" w:cstheme="minorHAnsi"/>
          <w:lang w:eastAsia="en-GB"/>
        </w:rPr>
        <w:t>schemes</w:t>
      </w:r>
      <w:r>
        <w:rPr>
          <w:rFonts w:eastAsia="Times New Roman" w:cstheme="minorHAnsi"/>
          <w:lang w:eastAsia="en-GB"/>
        </w:rPr>
        <w:t>;</w:t>
      </w:r>
      <w:proofErr w:type="gramEnd"/>
    </w:p>
    <w:p w14:paraId="36F400E3" w14:textId="659E15CE" w:rsidR="00CF17A5" w:rsidRPr="00CF17A5" w:rsidRDefault="00CF17A5" w:rsidP="000A302F">
      <w:pPr>
        <w:numPr>
          <w:ilvl w:val="0"/>
          <w:numId w:val="14"/>
        </w:numPr>
        <w:spacing w:before="100" w:beforeAutospacing="1" w:after="100" w:afterAutospacing="1"/>
        <w:rPr>
          <w:rFonts w:eastAsia="Times New Roman" w:cstheme="minorHAnsi"/>
          <w:lang w:eastAsia="en-GB"/>
        </w:rPr>
      </w:pPr>
      <w:r>
        <w:rPr>
          <w:rFonts w:eastAsia="Times New Roman" w:cstheme="minorHAnsi"/>
          <w:lang w:eastAsia="en-GB"/>
        </w:rPr>
        <w:t xml:space="preserve">Quantifying </w:t>
      </w:r>
      <w:r w:rsidRPr="00CF17A5">
        <w:rPr>
          <w:rFonts w:eastAsia="Times New Roman" w:cstheme="minorHAnsi"/>
          <w:lang w:eastAsia="en-GB"/>
        </w:rPr>
        <w:t>and assess</w:t>
      </w:r>
      <w:r>
        <w:rPr>
          <w:rFonts w:eastAsia="Times New Roman" w:cstheme="minorHAnsi"/>
          <w:lang w:eastAsia="en-GB"/>
        </w:rPr>
        <w:t>ing</w:t>
      </w:r>
      <w:r w:rsidRPr="00CF17A5">
        <w:rPr>
          <w:rFonts w:eastAsia="Times New Roman" w:cstheme="minorHAnsi"/>
          <w:lang w:eastAsia="en-GB"/>
        </w:rPr>
        <w:t xml:space="preserve"> the technical costs and benefits </w:t>
      </w:r>
      <w:r>
        <w:rPr>
          <w:rFonts w:eastAsia="Times New Roman" w:cstheme="minorHAnsi"/>
          <w:lang w:eastAsia="en-GB"/>
        </w:rPr>
        <w:t xml:space="preserve">of </w:t>
      </w:r>
      <w:r w:rsidRPr="00CF17A5">
        <w:rPr>
          <w:rFonts w:eastAsia="Times New Roman" w:cstheme="minorHAnsi"/>
          <w:lang w:eastAsia="en-GB"/>
        </w:rPr>
        <w:t>different ESO/DSO coordination schemes.</w:t>
      </w:r>
    </w:p>
    <w:p w14:paraId="494B505F" w14:textId="490C6350" w:rsidR="007A3883" w:rsidRPr="0056306A" w:rsidRDefault="00D04C58" w:rsidP="00903EB8">
      <w:pPr>
        <w:pStyle w:val="Heading2"/>
      </w:pPr>
      <w:bookmarkStart w:id="7" w:name="_Toc135829950"/>
      <w:r w:rsidRPr="0056306A">
        <w:t>Summary of c</w:t>
      </w:r>
      <w:r w:rsidR="007A3883" w:rsidRPr="0056306A">
        <w:t>ase studies</w:t>
      </w:r>
      <w:bookmarkEnd w:id="7"/>
    </w:p>
    <w:p w14:paraId="439FB196" w14:textId="40F0EC49" w:rsidR="00BE7137" w:rsidRPr="00C568F5" w:rsidRDefault="00E60F14" w:rsidP="00F32B63">
      <w:pPr>
        <w:rPr>
          <w:szCs w:val="20"/>
        </w:rPr>
      </w:pPr>
      <w:r w:rsidRPr="0056306A">
        <w:t>A</w:t>
      </w:r>
      <w:r w:rsidR="007A3883" w:rsidRPr="0056306A">
        <w:t xml:space="preserve"> range of case studies has been </w:t>
      </w:r>
      <w:r w:rsidR="00D14973" w:rsidRPr="0056306A">
        <w:t>analysed</w:t>
      </w:r>
      <w:r w:rsidR="007A3883" w:rsidRPr="0056306A">
        <w:t xml:space="preserve"> </w:t>
      </w:r>
      <w:r w:rsidRPr="0056306A">
        <w:t>to</w:t>
      </w:r>
      <w:r w:rsidR="00D14973" w:rsidRPr="0056306A">
        <w:t xml:space="preserve"> </w:t>
      </w:r>
      <w:r w:rsidR="00CF17A5">
        <w:t>analyse the techno-economic performance of different ESO-DSO coordination approaches,</w:t>
      </w:r>
      <w:r w:rsidR="00A97621" w:rsidRPr="0056306A">
        <w:t xml:space="preserve"> focusing</w:t>
      </w:r>
      <w:r w:rsidR="007A3883" w:rsidRPr="0056306A">
        <w:t xml:space="preserve"> on the 2050 net zero</w:t>
      </w:r>
      <w:r w:rsidRPr="0056306A">
        <w:t>-</w:t>
      </w:r>
      <w:r w:rsidR="007A3883" w:rsidRPr="0056306A">
        <w:t>emission system</w:t>
      </w:r>
      <w:r w:rsidR="00C568F5">
        <w:t xml:space="preserve"> to ensure the effectiveness of the approaches </w:t>
      </w:r>
      <w:r w:rsidR="00F32B63">
        <w:t>for</w:t>
      </w:r>
      <w:r w:rsidR="00C568F5">
        <w:t xml:space="preserve"> </w:t>
      </w:r>
      <w:r w:rsidR="00F32B63">
        <w:t xml:space="preserve">a </w:t>
      </w:r>
      <w:r w:rsidR="00C568F5">
        <w:t>future sustainable energy system</w:t>
      </w:r>
      <w:r w:rsidR="007A3883" w:rsidRPr="0056306A">
        <w:t>.</w:t>
      </w:r>
      <w:bookmarkStart w:id="8" w:name="_Hlk73441468"/>
      <w:r w:rsidR="00CF17A5">
        <w:t xml:space="preserve"> </w:t>
      </w:r>
      <w:r w:rsidR="00C568F5">
        <w:t>It is envisaged that all</w:t>
      </w:r>
      <w:r w:rsidR="00C568F5">
        <w:rPr>
          <w:szCs w:val="20"/>
        </w:rPr>
        <w:t xml:space="preserve"> flexibility resources would be facilitated, </w:t>
      </w:r>
      <w:r w:rsidR="00F32B63">
        <w:rPr>
          <w:szCs w:val="20"/>
        </w:rPr>
        <w:t xml:space="preserve">including sector coupling flexibility between </w:t>
      </w:r>
      <w:r w:rsidR="00C568F5">
        <w:rPr>
          <w:szCs w:val="20"/>
        </w:rPr>
        <w:t>electricity</w:t>
      </w:r>
      <w:r w:rsidR="00F32B63">
        <w:rPr>
          <w:szCs w:val="20"/>
        </w:rPr>
        <w:t xml:space="preserve">, </w:t>
      </w:r>
      <w:proofErr w:type="gramStart"/>
      <w:r w:rsidR="00C568F5">
        <w:rPr>
          <w:szCs w:val="20"/>
        </w:rPr>
        <w:t>gas</w:t>
      </w:r>
      <w:proofErr w:type="gramEnd"/>
      <w:r w:rsidR="00C568F5">
        <w:rPr>
          <w:szCs w:val="20"/>
        </w:rPr>
        <w:t xml:space="preserve"> and heating/cooling systems. </w:t>
      </w:r>
      <w:r w:rsidR="00CF17A5">
        <w:t xml:space="preserve">Three different </w:t>
      </w:r>
      <w:r w:rsidR="00C568F5">
        <w:t xml:space="preserve">coordination </w:t>
      </w:r>
      <w:r w:rsidR="00CF17A5">
        <w:t>approaches have been investigated, i.e.:</w:t>
      </w:r>
    </w:p>
    <w:p w14:paraId="5EF67641" w14:textId="1C5C0EB6" w:rsidR="00CF17A5" w:rsidRDefault="00CF17A5" w:rsidP="00F32B63">
      <w:pPr>
        <w:pStyle w:val="BulletPoint1"/>
      </w:pPr>
      <w:r>
        <w:t>Business</w:t>
      </w:r>
      <w:r w:rsidR="00797937">
        <w:t xml:space="preserve"> as </w:t>
      </w:r>
      <w:r>
        <w:t>usual</w:t>
      </w:r>
      <w:r w:rsidR="00797937">
        <w:t xml:space="preserve"> as the Counterfactual</w:t>
      </w:r>
    </w:p>
    <w:p w14:paraId="65A4C518" w14:textId="51EBBEC4" w:rsidR="00CF17A5" w:rsidRDefault="00CF17A5" w:rsidP="00F32B63">
      <w:pPr>
        <w:pStyle w:val="BulletPoint1"/>
      </w:pPr>
      <w:r>
        <w:t>Scheme 1</w:t>
      </w:r>
      <w:r w:rsidR="00797937">
        <w:t>: Enhanced Coordination</w:t>
      </w:r>
    </w:p>
    <w:p w14:paraId="2B78AC67" w14:textId="53559D4C" w:rsidR="00CF17A5" w:rsidRDefault="00CF17A5" w:rsidP="00F32B63">
      <w:pPr>
        <w:pStyle w:val="BulletPoint1"/>
      </w:pPr>
      <w:r>
        <w:t>Scheme 2</w:t>
      </w:r>
      <w:r w:rsidR="00797937">
        <w:t>: Distributed Flexibility Coordinator</w:t>
      </w:r>
    </w:p>
    <w:p w14:paraId="3D801599" w14:textId="65FF3A55" w:rsidR="00797937" w:rsidRDefault="00797937" w:rsidP="00F32B63">
      <w:pPr>
        <w:pStyle w:val="BulletPoint1"/>
        <w:numPr>
          <w:ilvl w:val="0"/>
          <w:numId w:val="0"/>
        </w:numPr>
      </w:pPr>
      <w:r>
        <w:t>The approaches are described in more detail as follows.</w:t>
      </w:r>
    </w:p>
    <w:p w14:paraId="1D2639EB" w14:textId="5616AF3C" w:rsidR="004856A8" w:rsidRDefault="006E4A66" w:rsidP="006E4A66">
      <w:pPr>
        <w:pStyle w:val="Heading3"/>
      </w:pPr>
      <w:bookmarkStart w:id="9" w:name="_Toc135829951"/>
      <w:r>
        <w:lastRenderedPageBreak/>
        <w:t>Business-as-Usual</w:t>
      </w:r>
      <w:r w:rsidR="00797937">
        <w:t xml:space="preserve"> as the Counterfactual</w:t>
      </w:r>
      <w:bookmarkEnd w:id="9"/>
    </w:p>
    <w:p w14:paraId="16023776" w14:textId="422B3AD4" w:rsidR="00797937" w:rsidRDefault="00797937" w:rsidP="00797937">
      <w:r>
        <w:t>Currently, the ESO has a central role in procuring and dispatching the flexibility sources for balancing and supporting the operational integrity of the national grid system. Some of the ESO</w:t>
      </w:r>
      <w:r w:rsidR="00F47F17">
        <w:t>'</w:t>
      </w:r>
      <w:r>
        <w:t xml:space="preserve">s flexibility sources are connected to distribution networks. While the current arrangement dictates a certain minimum size of providers, in future, small-scale flexibility providers can be aggregated to participate in the flexibility market run for the ESO. As the Counterfactual scenario, we assume that the current mechanism will continue with some refinement </w:t>
      </w:r>
      <w:r w:rsidR="00F32B63">
        <w:t xml:space="preserve">and </w:t>
      </w:r>
      <w:r>
        <w:t xml:space="preserve">that aggregation of small-scale resources will happen to facilitate access and </w:t>
      </w:r>
      <w:r w:rsidR="0037425F">
        <w:t xml:space="preserve">some </w:t>
      </w:r>
      <w:r>
        <w:t xml:space="preserve">control to those small grid-service providers. </w:t>
      </w:r>
    </w:p>
    <w:p w14:paraId="63C24A1B" w14:textId="72F02EC3" w:rsidR="0049484E" w:rsidRDefault="0049484E" w:rsidP="00797937">
      <w:r>
        <w:fldChar w:fldCharType="begin"/>
      </w:r>
      <w:r>
        <w:instrText xml:space="preserve"> REF _Ref135054073 \h </w:instrText>
      </w:r>
      <w:r>
        <w:fldChar w:fldCharType="separate"/>
      </w:r>
      <w:r w:rsidRPr="0056306A">
        <w:t xml:space="preserve">Figure </w:t>
      </w:r>
      <w:r>
        <w:rPr>
          <w:b/>
          <w:noProof/>
        </w:rPr>
        <w:t>1</w:t>
      </w:r>
      <w:r w:rsidRPr="0056306A">
        <w:noBreakHyphen/>
      </w:r>
      <w:r>
        <w:rPr>
          <w:b/>
          <w:noProof/>
        </w:rPr>
        <w:t>1</w:t>
      </w:r>
      <w:r>
        <w:fldChar w:fldCharType="end"/>
      </w:r>
      <w:r>
        <w:t xml:space="preserve"> shows the interaction between ESO, DSO and flexibility providers in the </w:t>
      </w:r>
      <w:proofErr w:type="gramStart"/>
      <w:r>
        <w:t>Business as Usual</w:t>
      </w:r>
      <w:proofErr w:type="gramEnd"/>
      <w:r>
        <w:t xml:space="preserve"> Scheme. While the ESO objective is to minimise the overall system cost, ESO may not sufficiently capture the impact of using flexibility resources on the distribution network leading to a suboptimal balance of using distributed flexibility resources to reduce the cost of national energy systems and regional or local distribution networks. </w:t>
      </w:r>
    </w:p>
    <w:p w14:paraId="483AEF44" w14:textId="1951E3CB" w:rsidR="0049484E" w:rsidRDefault="0049484E" w:rsidP="00797937">
      <w:r w:rsidRPr="0049484E">
        <w:rPr>
          <w:noProof/>
        </w:rPr>
        <w:drawing>
          <wp:inline distT="0" distB="0" distL="0" distR="0" wp14:anchorId="759C9698" wp14:editId="70A680F7">
            <wp:extent cx="5760085" cy="4082415"/>
            <wp:effectExtent l="0" t="0" r="0" b="0"/>
            <wp:docPr id="365122421" name="Picture 365122421" descr="A picture containing text, screenshot, diagram,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122421" name="Picture 1" descr="A picture containing text, screenshot, diagram, font&#10;&#10;Description automatically generated"/>
                    <pic:cNvPicPr/>
                  </pic:nvPicPr>
                  <pic:blipFill>
                    <a:blip r:embed="rId14"/>
                    <a:stretch>
                      <a:fillRect/>
                    </a:stretch>
                  </pic:blipFill>
                  <pic:spPr>
                    <a:xfrm>
                      <a:off x="0" y="0"/>
                      <a:ext cx="5760085" cy="4082415"/>
                    </a:xfrm>
                    <a:prstGeom prst="rect">
                      <a:avLst/>
                    </a:prstGeom>
                  </pic:spPr>
                </pic:pic>
              </a:graphicData>
            </a:graphic>
          </wp:inline>
        </w:drawing>
      </w:r>
    </w:p>
    <w:p w14:paraId="635331CE" w14:textId="38213539" w:rsidR="0049484E" w:rsidRDefault="0049484E" w:rsidP="0049484E">
      <w:pPr>
        <w:pStyle w:val="Caption"/>
      </w:pPr>
      <w:bookmarkStart w:id="10" w:name="_Ref135054073"/>
      <w:r w:rsidRPr="0056306A">
        <w:t xml:space="preserve">Figure </w:t>
      </w:r>
      <w:r>
        <w:fldChar w:fldCharType="begin"/>
      </w:r>
      <w:r>
        <w:rPr>
          <w:b w:val="0"/>
        </w:rPr>
        <w:instrText xml:space="preserve"> STYLEREF 1 \s </w:instrText>
      </w:r>
      <w:r>
        <w:fldChar w:fldCharType="separate"/>
      </w:r>
      <w:r>
        <w:rPr>
          <w:b w:val="0"/>
          <w:noProof/>
        </w:rPr>
        <w:t>1</w:t>
      </w:r>
      <w:r>
        <w:fldChar w:fldCharType="end"/>
      </w:r>
      <w:r w:rsidRPr="0056306A">
        <w:noBreakHyphen/>
      </w:r>
      <w:r>
        <w:fldChar w:fldCharType="begin"/>
      </w:r>
      <w:r>
        <w:rPr>
          <w:b w:val="0"/>
        </w:rPr>
        <w:instrText xml:space="preserve"> SEQ Figure \* ARABIC \s 1 </w:instrText>
      </w:r>
      <w:r>
        <w:fldChar w:fldCharType="separate"/>
      </w:r>
      <w:r>
        <w:rPr>
          <w:b w:val="0"/>
          <w:noProof/>
        </w:rPr>
        <w:t>1</w:t>
      </w:r>
      <w:r>
        <w:fldChar w:fldCharType="end"/>
      </w:r>
      <w:bookmarkEnd w:id="10"/>
      <w:r w:rsidRPr="0056306A">
        <w:t xml:space="preserve"> </w:t>
      </w:r>
      <w:r>
        <w:t xml:space="preserve">Interactions among different system actors in the </w:t>
      </w:r>
      <w:proofErr w:type="gramStart"/>
      <w:r>
        <w:t>Business as Usual</w:t>
      </w:r>
      <w:proofErr w:type="gramEnd"/>
      <w:r>
        <w:t xml:space="preserve"> Scheme based on ENA</w:t>
      </w:r>
      <w:r w:rsidR="00782C81">
        <w:t xml:space="preserve"> Open Networks</w:t>
      </w:r>
      <w:r>
        <w:t xml:space="preserve">' Future World D </w:t>
      </w:r>
    </w:p>
    <w:p w14:paraId="2A71541F" w14:textId="53ECAD59" w:rsidR="006E4A66" w:rsidRDefault="0049484E" w:rsidP="0049484E">
      <w:r>
        <w:t>In this scheme, DSO will ensure that the application of DFR to support transmission system operation can be accommodated by sufficiently strong distribution networks.</w:t>
      </w:r>
    </w:p>
    <w:p w14:paraId="2F81D971" w14:textId="3366282E" w:rsidR="006E4A66" w:rsidRDefault="006E4A66" w:rsidP="006E4A66">
      <w:pPr>
        <w:pStyle w:val="Heading3"/>
      </w:pPr>
      <w:bookmarkStart w:id="11" w:name="_Toc135829952"/>
      <w:r>
        <w:lastRenderedPageBreak/>
        <w:t>Scheme 1</w:t>
      </w:r>
      <w:r w:rsidR="00797937">
        <w:t>: Enhanced Coordination</w:t>
      </w:r>
      <w:bookmarkEnd w:id="11"/>
    </w:p>
    <w:p w14:paraId="2DFB690B" w14:textId="5BF0F639" w:rsidR="00EA0CBF" w:rsidRDefault="00C568F5" w:rsidP="00797937">
      <w:pPr>
        <w:keepNext/>
      </w:pPr>
      <w:r>
        <w:t xml:space="preserve">Scheme 1 is developed based on the </w:t>
      </w:r>
      <w:r w:rsidR="00797937">
        <w:t>This scheme supports greater operational coordination than would be the case under a single entity-led scheme.</w:t>
      </w:r>
      <w:r w:rsidR="00EA0CBF">
        <w:t xml:space="preserve"> DFR resources will be optimised using two key stages. </w:t>
      </w:r>
    </w:p>
    <w:p w14:paraId="58F68CE7" w14:textId="2EA15D2E" w:rsidR="00EA0CBF" w:rsidRDefault="00EA0CBF" w:rsidP="00390E22">
      <w:pPr>
        <w:pStyle w:val="BodyText"/>
      </w:pPr>
      <w:r w:rsidRPr="00EA0CBF">
        <w:t xml:space="preserve">The first stage is </w:t>
      </w:r>
      <w:r w:rsidR="00F47F17">
        <w:t xml:space="preserve">for </w:t>
      </w:r>
      <w:r w:rsidRPr="00EA0CBF">
        <w:t>the DSO to use DFR to manage distribution network operation, minimise distribution network reinforcement</w:t>
      </w:r>
      <w:r w:rsidR="00887A6A">
        <w:t xml:space="preserve">, </w:t>
      </w:r>
      <w:r w:rsidRPr="00EA0CBF">
        <w:t>aggregate the available DFR resources</w:t>
      </w:r>
      <w:r w:rsidR="00887A6A">
        <w:t xml:space="preserve"> th</w:t>
      </w:r>
      <w:r w:rsidR="00F47F17">
        <w:t>at ESO can use</w:t>
      </w:r>
      <w:r w:rsidR="00887A6A">
        <w:t xml:space="preserve"> considering local</w:t>
      </w:r>
      <w:r w:rsidR="00887A6A" w:rsidRPr="00EA0CBF">
        <w:t xml:space="preserve"> distribution network constraints</w:t>
      </w:r>
      <w:r w:rsidRPr="00EA0CBF">
        <w:t xml:space="preserve"> </w:t>
      </w:r>
      <w:r w:rsidR="00887A6A">
        <w:t>and inform th</w:t>
      </w:r>
      <w:r w:rsidR="00F47F17">
        <w:t>at</w:t>
      </w:r>
      <w:r w:rsidR="00887A6A">
        <w:t xml:space="preserve"> information to</w:t>
      </w:r>
      <w:r w:rsidRPr="00EA0CBF">
        <w:t xml:space="preserve"> the ESO. </w:t>
      </w:r>
    </w:p>
    <w:p w14:paraId="5E157C34" w14:textId="6A29CF95" w:rsidR="00EA0CBF" w:rsidRDefault="00887A6A" w:rsidP="00390E22">
      <w:pPr>
        <w:pStyle w:val="BodyText"/>
      </w:pPr>
      <w:r>
        <w:t>Based on th</w:t>
      </w:r>
      <w:r w:rsidR="00F47F17">
        <w:t>at</w:t>
      </w:r>
      <w:r>
        <w:t xml:space="preserve"> information, the ESO will optimise and allocate the DFR services</w:t>
      </w:r>
      <w:r w:rsidR="001D7744">
        <w:t xml:space="preserve"> in all DSO regions</w:t>
      </w:r>
      <w:r>
        <w:t xml:space="preserve"> </w:t>
      </w:r>
      <w:r w:rsidR="001D7744">
        <w:t>in coordination with large-scale flexibility resources at transmission</w:t>
      </w:r>
      <w:r>
        <w:t xml:space="preserve"> in t</w:t>
      </w:r>
      <w:r w:rsidR="00EA0CBF">
        <w:t xml:space="preserve">he second stage </w:t>
      </w:r>
      <w:r>
        <w:t xml:space="preserve">to support </w:t>
      </w:r>
      <w:r w:rsidR="00F47F17">
        <w:t xml:space="preserve">the </w:t>
      </w:r>
      <w:r>
        <w:t xml:space="preserve">national transmission system at minimum cost. </w:t>
      </w:r>
    </w:p>
    <w:p w14:paraId="17BA1E85" w14:textId="44B4266D" w:rsidR="00887A6A" w:rsidRDefault="00797937" w:rsidP="001231C5">
      <w:pPr>
        <w:pStyle w:val="BodyText"/>
      </w:pPr>
      <w:r w:rsidRPr="00EA0CBF">
        <w:t>Key design principles underpinning Scheme 1 are:</w:t>
      </w:r>
    </w:p>
    <w:p w14:paraId="12E6C300" w14:textId="135215E4" w:rsidR="00C568F5" w:rsidRPr="00C568F5" w:rsidRDefault="00887A6A" w:rsidP="00390E22">
      <w:pPr>
        <w:pStyle w:val="BodyText"/>
      </w:pPr>
      <w:r>
        <w:t xml:space="preserve">DSO will </w:t>
      </w:r>
      <w:r w:rsidR="00C568F5">
        <w:t xml:space="preserve">act as a local energy and ancillary service market facilitator for all DFRs. </w:t>
      </w:r>
    </w:p>
    <w:p w14:paraId="05BDFD5A" w14:textId="5D27CF68" w:rsidR="00797937" w:rsidRDefault="00C568F5" w:rsidP="00390E22">
      <w:pPr>
        <w:pStyle w:val="BodyText"/>
      </w:pPr>
      <w:r>
        <w:t xml:space="preserve">DSO </w:t>
      </w:r>
      <w:r w:rsidR="00887A6A">
        <w:t xml:space="preserve">provide dynamic regional operational boundaries of DFR services that </w:t>
      </w:r>
      <w:r w:rsidR="00F47F17">
        <w:t>ESO can use</w:t>
      </w:r>
      <w:r w:rsidR="00887A6A">
        <w:t xml:space="preserve"> after considering the local network constraints and the distribution network reinforcements.</w:t>
      </w:r>
      <w:r w:rsidR="001D7744">
        <w:t xml:space="preserve"> The operational boundaries vary depending on the availability of resources, load levels, and network conditions.</w:t>
      </w:r>
    </w:p>
    <w:p w14:paraId="0813B6B9" w14:textId="214972A7" w:rsidR="001D7744" w:rsidRDefault="001D7744" w:rsidP="00390E22">
      <w:pPr>
        <w:pStyle w:val="BodyText"/>
      </w:pPr>
      <w:r>
        <w:t>ESO will maintain visibility and control access to DFR directly or through aggregators and operate within the boundaries given by the DSO in advance.</w:t>
      </w:r>
    </w:p>
    <w:p w14:paraId="16AEBC85" w14:textId="706301D0" w:rsidR="00887A6A" w:rsidRPr="001D7744" w:rsidRDefault="001D7744" w:rsidP="00390E22">
      <w:pPr>
        <w:pStyle w:val="BodyText"/>
      </w:pPr>
      <w:r>
        <w:t>ESO and DSO will exchange information regarding the volume of services being procured and activated</w:t>
      </w:r>
      <w:r w:rsidR="00F47F17">
        <w:t>,</w:t>
      </w:r>
      <w:r>
        <w:t xml:space="preserve"> and DSOs will include those in their </w:t>
      </w:r>
      <w:r w:rsidR="00C568F5">
        <w:t>investment and operational planning.</w:t>
      </w:r>
      <w:r w:rsidRPr="001D7744">
        <w:t xml:space="preserve"> </w:t>
      </w:r>
    </w:p>
    <w:p w14:paraId="73C663F1" w14:textId="77777777" w:rsidR="00797937" w:rsidRPr="00797937" w:rsidRDefault="00797937" w:rsidP="00797937"/>
    <w:p w14:paraId="63C480B2" w14:textId="3AA09066" w:rsidR="006E4A66" w:rsidRDefault="006E4A66" w:rsidP="006E4A66">
      <w:pPr>
        <w:pStyle w:val="BulletPoint1"/>
        <w:numPr>
          <w:ilvl w:val="0"/>
          <w:numId w:val="0"/>
        </w:numPr>
      </w:pPr>
      <w:r w:rsidRPr="006E4A66">
        <w:rPr>
          <w:noProof/>
        </w:rPr>
        <w:lastRenderedPageBreak/>
        <w:drawing>
          <wp:inline distT="0" distB="0" distL="0" distR="0" wp14:anchorId="3CD06329" wp14:editId="2178E806">
            <wp:extent cx="5411643" cy="4445952"/>
            <wp:effectExtent l="0" t="0" r="0" b="0"/>
            <wp:docPr id="1682643824" name="Picture 1682643824">
              <a:extLst xmlns:a="http://schemas.openxmlformats.org/drawingml/2006/main">
                <a:ext uri="{FF2B5EF4-FFF2-40B4-BE49-F238E27FC236}">
                  <a16:creationId xmlns:a16="http://schemas.microsoft.com/office/drawing/2014/main" id="{DF8BB12F-48BE-DD30-5BA6-D43335E91F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DF8BB12F-48BE-DD30-5BA6-D43335E91F14}"/>
                        </a:ext>
                      </a:extLst>
                    </pic:cNvPr>
                    <pic:cNvPicPr>
                      <a:picLocks noChangeAspect="1"/>
                    </pic:cNvPicPr>
                  </pic:nvPicPr>
                  <pic:blipFill>
                    <a:blip r:embed="rId15"/>
                    <a:stretch>
                      <a:fillRect/>
                    </a:stretch>
                  </pic:blipFill>
                  <pic:spPr>
                    <a:xfrm>
                      <a:off x="0" y="0"/>
                      <a:ext cx="5411643" cy="4445952"/>
                    </a:xfrm>
                    <a:prstGeom prst="rect">
                      <a:avLst/>
                    </a:prstGeom>
                  </pic:spPr>
                </pic:pic>
              </a:graphicData>
            </a:graphic>
          </wp:inline>
        </w:drawing>
      </w:r>
    </w:p>
    <w:p w14:paraId="3191541A" w14:textId="4E514469" w:rsidR="00716AC7" w:rsidRDefault="00716AC7" w:rsidP="00716AC7">
      <w:pPr>
        <w:pStyle w:val="Caption"/>
      </w:pPr>
      <w:r w:rsidRPr="0056306A">
        <w:t xml:space="preserve">Figure </w:t>
      </w:r>
      <w:r>
        <w:fldChar w:fldCharType="begin"/>
      </w:r>
      <w:r>
        <w:rPr>
          <w:b w:val="0"/>
        </w:rPr>
        <w:instrText xml:space="preserve"> STYLEREF 1 \s </w:instrText>
      </w:r>
      <w:r>
        <w:fldChar w:fldCharType="separate"/>
      </w:r>
      <w:r>
        <w:rPr>
          <w:b w:val="0"/>
          <w:noProof/>
        </w:rPr>
        <w:t>1</w:t>
      </w:r>
      <w:r>
        <w:fldChar w:fldCharType="end"/>
      </w:r>
      <w:r w:rsidRPr="0056306A">
        <w:noBreakHyphen/>
      </w:r>
      <w:r>
        <w:fldChar w:fldCharType="begin"/>
      </w:r>
      <w:r>
        <w:rPr>
          <w:b w:val="0"/>
        </w:rPr>
        <w:instrText xml:space="preserve"> SEQ Figure \* ARABIC \s 1 </w:instrText>
      </w:r>
      <w:r>
        <w:fldChar w:fldCharType="separate"/>
      </w:r>
      <w:r>
        <w:rPr>
          <w:b w:val="0"/>
          <w:noProof/>
        </w:rPr>
        <w:t>1</w:t>
      </w:r>
      <w:r>
        <w:fldChar w:fldCharType="end"/>
      </w:r>
      <w:r w:rsidRPr="0056306A">
        <w:t xml:space="preserve"> </w:t>
      </w:r>
      <w:r w:rsidR="00BC5BE4">
        <w:t xml:space="preserve">Interactions among different system actors in Scheme 1 based on </w:t>
      </w:r>
      <w:r w:rsidR="00782C81">
        <w:t xml:space="preserve">ENA Open Networks' </w:t>
      </w:r>
      <w:r w:rsidR="00BC5BE4">
        <w:t xml:space="preserve">Future World B </w:t>
      </w:r>
    </w:p>
    <w:p w14:paraId="6ED06AD2" w14:textId="77777777" w:rsidR="006E4A66" w:rsidRDefault="006E4A66" w:rsidP="006E4A66">
      <w:pPr>
        <w:pStyle w:val="BulletPoint1"/>
        <w:numPr>
          <w:ilvl w:val="0"/>
          <w:numId w:val="0"/>
        </w:numPr>
      </w:pPr>
    </w:p>
    <w:p w14:paraId="090DF02F" w14:textId="3C24A24F" w:rsidR="006E4A66" w:rsidRDefault="006E4A66" w:rsidP="006E4A66">
      <w:pPr>
        <w:pStyle w:val="Heading3"/>
      </w:pPr>
      <w:bookmarkStart w:id="12" w:name="_Toc135829953"/>
      <w:r>
        <w:t>Scheme 2</w:t>
      </w:r>
      <w:r w:rsidR="00797937">
        <w:t>: Distributed Flexibility Coordinator</w:t>
      </w:r>
      <w:bookmarkEnd w:id="12"/>
    </w:p>
    <w:p w14:paraId="4BD6C925" w14:textId="77777777" w:rsidR="00797937" w:rsidRDefault="00797937" w:rsidP="00797937">
      <w:pPr>
        <w:rPr>
          <w:b/>
          <w:bCs/>
        </w:rPr>
      </w:pPr>
      <w:r>
        <w:t>Under this scheme, both the ESO and DSO have full access to DSR flexibility services, with decisions about access to services determined on an operational basis by a Distributed Flexibility Coordinator (DFC). Key design principles underpinning Scheme 2 are:</w:t>
      </w:r>
    </w:p>
    <w:p w14:paraId="09EF72C0" w14:textId="7AC4D0BB" w:rsidR="00797937" w:rsidRDefault="00797937" w:rsidP="00390E22">
      <w:pPr>
        <w:pStyle w:val="BodyText"/>
      </w:pPr>
      <w:r>
        <w:t xml:space="preserve">DFC acts </w:t>
      </w:r>
      <w:r w:rsidR="00EA0CBF">
        <w:t xml:space="preserve">as </w:t>
      </w:r>
      <w:r>
        <w:t xml:space="preserve">a neutral market facilitator for all distributed flexibility sources, ESO and DSOs. ESO and DSOs can access </w:t>
      </w:r>
      <w:r w:rsidR="00F47F17">
        <w:t xml:space="preserve">the </w:t>
      </w:r>
      <w:r>
        <w:t>full potential of distributed flexibility capacities.</w:t>
      </w:r>
    </w:p>
    <w:p w14:paraId="4211EF37" w14:textId="77777777" w:rsidR="00797937" w:rsidRDefault="00797937" w:rsidP="00390E22">
      <w:pPr>
        <w:pStyle w:val="BodyText"/>
      </w:pPr>
      <w:r>
        <w:t>DFC is responsible for collecting service requirements from ESO and DSOs and volumes and costs associated with distributed flexibility services, optimising those across all timescales and identifying procurement solutions for ESO and DSOs.</w:t>
      </w:r>
    </w:p>
    <w:p w14:paraId="4512E50D" w14:textId="26D955FF" w:rsidR="00797937" w:rsidRDefault="00797937" w:rsidP="00390E22">
      <w:pPr>
        <w:pStyle w:val="BodyText"/>
      </w:pPr>
      <w:r>
        <w:t xml:space="preserve">There is a </w:t>
      </w:r>
      <w:r w:rsidR="00F47F17">
        <w:t>joint</w:t>
      </w:r>
      <w:r>
        <w:t xml:space="preserve"> flexibility procurement platform as part of an integrated system with visibility and managed access for all relevant stakeholders.</w:t>
      </w:r>
    </w:p>
    <w:p w14:paraId="5D4B8ECB" w14:textId="21F68DB6" w:rsidR="006E4A66" w:rsidRDefault="006E4A66" w:rsidP="00F47F17">
      <w:pPr>
        <w:pStyle w:val="BulletPoint1"/>
        <w:numPr>
          <w:ilvl w:val="0"/>
          <w:numId w:val="0"/>
        </w:numPr>
        <w:jc w:val="center"/>
      </w:pPr>
      <w:r w:rsidRPr="006E4A66">
        <w:rPr>
          <w:noProof/>
        </w:rPr>
        <w:lastRenderedPageBreak/>
        <w:drawing>
          <wp:inline distT="0" distB="0" distL="0" distR="0" wp14:anchorId="0AA747CD" wp14:editId="4E7A3E4A">
            <wp:extent cx="5480884" cy="4525500"/>
            <wp:effectExtent l="0" t="0" r="5715" b="8890"/>
            <wp:docPr id="7" name="Picture 7">
              <a:extLst xmlns:a="http://schemas.openxmlformats.org/drawingml/2006/main">
                <a:ext uri="{FF2B5EF4-FFF2-40B4-BE49-F238E27FC236}">
                  <a16:creationId xmlns:a16="http://schemas.microsoft.com/office/drawing/2014/main" id="{8DAF6780-2E2F-3507-22C2-763FB739F5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8DAF6780-2E2F-3507-22C2-763FB739F5B0}"/>
                        </a:ext>
                      </a:extLst>
                    </pic:cNvPr>
                    <pic:cNvPicPr>
                      <a:picLocks noChangeAspect="1"/>
                    </pic:cNvPicPr>
                  </pic:nvPicPr>
                  <pic:blipFill>
                    <a:blip r:embed="rId16"/>
                    <a:stretch>
                      <a:fillRect/>
                    </a:stretch>
                  </pic:blipFill>
                  <pic:spPr>
                    <a:xfrm>
                      <a:off x="0" y="0"/>
                      <a:ext cx="5480884" cy="4525500"/>
                    </a:xfrm>
                    <a:prstGeom prst="rect">
                      <a:avLst/>
                    </a:prstGeom>
                  </pic:spPr>
                </pic:pic>
              </a:graphicData>
            </a:graphic>
          </wp:inline>
        </w:drawing>
      </w:r>
    </w:p>
    <w:p w14:paraId="143ACF19" w14:textId="542F48C0" w:rsidR="00BC5BE4" w:rsidRDefault="00BC5BE4" w:rsidP="00BC5BE4">
      <w:pPr>
        <w:pStyle w:val="Caption"/>
      </w:pPr>
      <w:r w:rsidRPr="0056306A">
        <w:t xml:space="preserve">Figure </w:t>
      </w:r>
      <w:r>
        <w:fldChar w:fldCharType="begin"/>
      </w:r>
      <w:r>
        <w:rPr>
          <w:b w:val="0"/>
        </w:rPr>
        <w:instrText xml:space="preserve"> STYLEREF 1 \s </w:instrText>
      </w:r>
      <w:r>
        <w:fldChar w:fldCharType="separate"/>
      </w:r>
      <w:r>
        <w:rPr>
          <w:b w:val="0"/>
          <w:noProof/>
        </w:rPr>
        <w:t>1</w:t>
      </w:r>
      <w:r>
        <w:fldChar w:fldCharType="end"/>
      </w:r>
      <w:r w:rsidRPr="0056306A">
        <w:noBreakHyphen/>
      </w:r>
      <w:r>
        <w:fldChar w:fldCharType="begin"/>
      </w:r>
      <w:r>
        <w:rPr>
          <w:b w:val="0"/>
        </w:rPr>
        <w:instrText xml:space="preserve"> SEQ Figure \* ARABIC \s 1 </w:instrText>
      </w:r>
      <w:r>
        <w:fldChar w:fldCharType="separate"/>
      </w:r>
      <w:r>
        <w:rPr>
          <w:b w:val="0"/>
          <w:noProof/>
        </w:rPr>
        <w:t>2</w:t>
      </w:r>
      <w:r>
        <w:fldChar w:fldCharType="end"/>
      </w:r>
      <w:r w:rsidRPr="0056306A">
        <w:t xml:space="preserve"> </w:t>
      </w:r>
      <w:r>
        <w:t xml:space="preserve">Interactions among different system actors in Scheme 2 based on </w:t>
      </w:r>
      <w:r w:rsidR="00782C81">
        <w:t>ENA Open Networks</w:t>
      </w:r>
      <w:proofErr w:type="gramStart"/>
      <w:r w:rsidR="00782C81">
        <w:t xml:space="preserve">' </w:t>
      </w:r>
      <w:r>
        <w:t xml:space="preserve"> Future</w:t>
      </w:r>
      <w:proofErr w:type="gramEnd"/>
      <w:r>
        <w:t xml:space="preserve"> World E</w:t>
      </w:r>
    </w:p>
    <w:p w14:paraId="3CB55997" w14:textId="7FA99CD7" w:rsidR="00BC5BE4" w:rsidRDefault="00797937" w:rsidP="00797937">
      <w:r>
        <w:t xml:space="preserve">We recognise that </w:t>
      </w:r>
      <w:r w:rsidR="00B86C80">
        <w:t>significant complexity</w:t>
      </w:r>
      <w:r>
        <w:t xml:space="preserve"> would need to be addressed to achieve coordination in operational timescales, including addressing multiple current barriers that are not driven by the independence of the coordinating body. Some examples of this include managing competing timescales when a party becomes aware they need a service and when delivery is required, access to sufficiently granular data and systems to store and process it, and the trade-off between security of supply and local constraints with priority potentially differing, depending on alternative options that are available at each location.</w:t>
      </w:r>
    </w:p>
    <w:p w14:paraId="5F870392" w14:textId="33595ED1" w:rsidR="006E4A66" w:rsidRPr="0056306A" w:rsidRDefault="00F47F17" w:rsidP="00BC5BE4">
      <w:pPr>
        <w:pStyle w:val="Heading3"/>
      </w:pPr>
      <w:bookmarkStart w:id="13" w:name="_Toc135829954"/>
      <w:r>
        <w:t>Core study</w:t>
      </w:r>
      <w:r w:rsidR="00BC5BE4">
        <w:t xml:space="preserve"> </w:t>
      </w:r>
      <w:proofErr w:type="gramStart"/>
      <w:r w:rsidR="00BC5BE4">
        <w:t>scenarios</w:t>
      </w:r>
      <w:bookmarkEnd w:id="13"/>
      <w:proofErr w:type="gramEnd"/>
    </w:p>
    <w:p w14:paraId="5D4634BB" w14:textId="60C6AACF" w:rsidR="00D04C58" w:rsidRDefault="00146208" w:rsidP="00C552E9">
      <w:pPr>
        <w:jc w:val="left"/>
      </w:pPr>
      <w:r>
        <w:t xml:space="preserve">In addition to the three coordination approaches, another counterfactual scenario ("0") is evaluated in which low-distributed flexibility resources are not used in the system. The objective is to quantify the system benefits of using DFRs. </w:t>
      </w:r>
      <w:r w:rsidR="00D14973" w:rsidRPr="0056306A">
        <w:t>The</w:t>
      </w:r>
      <w:r>
        <w:t xml:space="preserve"> core study scenarios </w:t>
      </w:r>
      <w:r w:rsidR="00D14973" w:rsidRPr="0056306A">
        <w:t xml:space="preserve">are summarised in </w:t>
      </w:r>
      <w:r w:rsidR="00D14973" w:rsidRPr="0056306A">
        <w:fldChar w:fldCharType="begin"/>
      </w:r>
      <w:r w:rsidR="00D14973" w:rsidRPr="0056306A">
        <w:instrText xml:space="preserve"> REF _Ref79858480 \h </w:instrText>
      </w:r>
      <w:r w:rsidR="0056306A">
        <w:instrText xml:space="preserve"> \* MERGEFORMAT </w:instrText>
      </w:r>
      <w:r w:rsidR="00D14973" w:rsidRPr="0056306A">
        <w:fldChar w:fldCharType="separate"/>
      </w:r>
      <w:r w:rsidR="00080C1D" w:rsidRPr="0056306A">
        <w:t>Table</w:t>
      </w:r>
      <w:r w:rsidR="00080C1D" w:rsidRPr="0056306A">
        <w:rPr>
          <w:noProof/>
        </w:rPr>
        <w:t xml:space="preserve"> </w:t>
      </w:r>
      <w:r w:rsidR="00080C1D">
        <w:rPr>
          <w:noProof/>
        </w:rPr>
        <w:t>1</w:t>
      </w:r>
      <w:r w:rsidR="00080C1D">
        <w:rPr>
          <w:noProof/>
        </w:rPr>
        <w:noBreakHyphen/>
        <w:t>1</w:t>
      </w:r>
      <w:r w:rsidR="00D14973" w:rsidRPr="0056306A">
        <w:fldChar w:fldCharType="end"/>
      </w:r>
      <w:r w:rsidR="00D04C58" w:rsidRPr="0056306A">
        <w:t>.</w:t>
      </w:r>
    </w:p>
    <w:p w14:paraId="4E23429E" w14:textId="739CEED7" w:rsidR="00BE7137" w:rsidRDefault="00D63FEA" w:rsidP="006E4A66">
      <w:pPr>
        <w:pStyle w:val="Caption"/>
      </w:pPr>
      <w:bookmarkStart w:id="14" w:name="_Ref79858480"/>
      <w:r w:rsidRPr="0056306A">
        <w:t xml:space="preserve">Table </w:t>
      </w:r>
      <w:r>
        <w:fldChar w:fldCharType="begin"/>
      </w:r>
      <w:r>
        <w:instrText>STYLEREF 1 \s</w:instrText>
      </w:r>
      <w:r>
        <w:fldChar w:fldCharType="separate"/>
      </w:r>
      <w:r w:rsidR="00080C1D">
        <w:rPr>
          <w:noProof/>
        </w:rPr>
        <w:t>1</w:t>
      </w:r>
      <w:r>
        <w:fldChar w:fldCharType="end"/>
      </w:r>
      <w:r w:rsidR="00B701A3">
        <w:noBreakHyphen/>
      </w:r>
      <w:r>
        <w:fldChar w:fldCharType="begin"/>
      </w:r>
      <w:r>
        <w:instrText>SEQ Table \* ARABIC \s 1</w:instrText>
      </w:r>
      <w:r>
        <w:fldChar w:fldCharType="separate"/>
      </w:r>
      <w:r w:rsidR="00080C1D">
        <w:rPr>
          <w:noProof/>
        </w:rPr>
        <w:t>1</w:t>
      </w:r>
      <w:r>
        <w:fldChar w:fldCharType="end"/>
      </w:r>
      <w:bookmarkEnd w:id="14"/>
      <w:r w:rsidRPr="0056306A">
        <w:t xml:space="preserve"> List of </w:t>
      </w:r>
      <w:r w:rsidR="00146208">
        <w:t xml:space="preserve">core study </w:t>
      </w:r>
      <w:r w:rsidRPr="0056306A">
        <w:t xml:space="preserve">scenarios being </w:t>
      </w:r>
      <w:proofErr w:type="gramStart"/>
      <w:r w:rsidRPr="0056306A">
        <w:t>studied</w:t>
      </w:r>
      <w:proofErr w:type="gramEnd"/>
    </w:p>
    <w:tbl>
      <w:tblPr>
        <w:tblW w:w="5000" w:type="pct"/>
        <w:tblCellMar>
          <w:left w:w="0" w:type="dxa"/>
          <w:right w:w="0" w:type="dxa"/>
        </w:tblCellMar>
        <w:tblLook w:val="0420" w:firstRow="1" w:lastRow="0" w:firstColumn="0" w:lastColumn="0" w:noHBand="0" w:noVBand="1"/>
      </w:tblPr>
      <w:tblGrid>
        <w:gridCol w:w="1845"/>
        <w:gridCol w:w="2009"/>
        <w:gridCol w:w="1470"/>
        <w:gridCol w:w="1566"/>
        <w:gridCol w:w="2161"/>
      </w:tblGrid>
      <w:tr w:rsidR="006E4A66" w:rsidRPr="006E4A66" w14:paraId="7018F467" w14:textId="77777777" w:rsidTr="006E4A66">
        <w:tc>
          <w:tcPr>
            <w:tcW w:w="1019" w:type="pct"/>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14:paraId="7249F1BD" w14:textId="77777777" w:rsidR="006E4A66" w:rsidRPr="006E4A66" w:rsidRDefault="006E4A66" w:rsidP="00CF17A5">
            <w:pPr>
              <w:spacing w:after="0" w:line="240" w:lineRule="auto"/>
              <w:jc w:val="left"/>
            </w:pPr>
          </w:p>
        </w:tc>
        <w:tc>
          <w:tcPr>
            <w:tcW w:w="1110" w:type="pct"/>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14:paraId="19CBD48D" w14:textId="0B750245" w:rsidR="006E4A66" w:rsidRPr="006E4A66" w:rsidRDefault="006E4A66" w:rsidP="00CF17A5">
            <w:pPr>
              <w:spacing w:after="0" w:line="240" w:lineRule="auto"/>
              <w:jc w:val="left"/>
            </w:pPr>
            <w:r w:rsidRPr="006E4A66">
              <w:rPr>
                <w:b/>
                <w:bCs/>
              </w:rPr>
              <w:t>0: Low</w:t>
            </w:r>
            <w:r w:rsidR="00B86C80">
              <w:rPr>
                <w:b/>
                <w:bCs/>
              </w:rPr>
              <w:t>-</w:t>
            </w:r>
            <w:r w:rsidRPr="006E4A66">
              <w:rPr>
                <w:b/>
                <w:bCs/>
              </w:rPr>
              <w:t>distributed flexibility services</w:t>
            </w:r>
          </w:p>
        </w:tc>
        <w:tc>
          <w:tcPr>
            <w:tcW w:w="812" w:type="pct"/>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14:paraId="3BA5E67C" w14:textId="7468E895" w:rsidR="006E4A66" w:rsidRPr="006E4A66" w:rsidRDefault="006E4A66" w:rsidP="00CF17A5">
            <w:pPr>
              <w:spacing w:after="0" w:line="240" w:lineRule="auto"/>
              <w:jc w:val="left"/>
            </w:pPr>
            <w:r w:rsidRPr="006E4A66">
              <w:rPr>
                <w:b/>
                <w:bCs/>
              </w:rPr>
              <w:t>Business-as-Usual</w:t>
            </w:r>
            <w:r w:rsidR="00B86C80">
              <w:rPr>
                <w:b/>
                <w:bCs/>
              </w:rPr>
              <w:t xml:space="preserve"> (BaU)</w:t>
            </w:r>
          </w:p>
        </w:tc>
        <w:tc>
          <w:tcPr>
            <w:tcW w:w="865" w:type="pct"/>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14:paraId="668804E7" w14:textId="77777777" w:rsidR="006E4A66" w:rsidRPr="006E4A66" w:rsidRDefault="006E4A66" w:rsidP="00CF17A5">
            <w:pPr>
              <w:spacing w:after="0" w:line="240" w:lineRule="auto"/>
              <w:jc w:val="left"/>
            </w:pPr>
            <w:r w:rsidRPr="006E4A66">
              <w:rPr>
                <w:b/>
                <w:bCs/>
              </w:rPr>
              <w:t>Scheme 1: Enhanced Coordination</w:t>
            </w:r>
          </w:p>
        </w:tc>
        <w:tc>
          <w:tcPr>
            <w:tcW w:w="1194" w:type="pct"/>
            <w:tcBorders>
              <w:top w:val="single" w:sz="8" w:space="0" w:color="FFFFFF"/>
              <w:left w:val="single" w:sz="8" w:space="0" w:color="FFFFFF"/>
              <w:bottom w:val="single" w:sz="24" w:space="0" w:color="FFFFFF"/>
              <w:right w:val="single" w:sz="8" w:space="0" w:color="FFFFFF"/>
            </w:tcBorders>
            <w:shd w:val="clear" w:color="auto" w:fill="000000"/>
            <w:tcMar>
              <w:top w:w="72" w:type="dxa"/>
              <w:left w:w="144" w:type="dxa"/>
              <w:bottom w:w="72" w:type="dxa"/>
              <w:right w:w="144" w:type="dxa"/>
            </w:tcMar>
            <w:hideMark/>
          </w:tcPr>
          <w:p w14:paraId="0B30F44D" w14:textId="77777777" w:rsidR="006E4A66" w:rsidRPr="006E4A66" w:rsidRDefault="006E4A66" w:rsidP="00CF17A5">
            <w:pPr>
              <w:spacing w:after="0" w:line="240" w:lineRule="auto"/>
              <w:jc w:val="left"/>
            </w:pPr>
            <w:r w:rsidRPr="006E4A66">
              <w:rPr>
                <w:b/>
                <w:bCs/>
              </w:rPr>
              <w:t>Scheme 2: Distributed Flexibility Coordinator</w:t>
            </w:r>
          </w:p>
        </w:tc>
      </w:tr>
      <w:tr w:rsidR="006E4A66" w:rsidRPr="006E4A66" w14:paraId="4337BB2F" w14:textId="77777777" w:rsidTr="006E4A66">
        <w:trPr>
          <w:trHeight w:val="790"/>
        </w:trPr>
        <w:tc>
          <w:tcPr>
            <w:tcW w:w="1019" w:type="pct"/>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086509BC" w14:textId="77777777" w:rsidR="006E4A66" w:rsidRPr="006E4A66" w:rsidRDefault="006E4A66" w:rsidP="00CF17A5">
            <w:pPr>
              <w:spacing w:after="0" w:line="240" w:lineRule="auto"/>
            </w:pPr>
            <w:r w:rsidRPr="006E4A66">
              <w:t>ESO-DSO access coordination</w:t>
            </w:r>
          </w:p>
        </w:tc>
        <w:tc>
          <w:tcPr>
            <w:tcW w:w="1110" w:type="pct"/>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27331D95" w14:textId="77777777" w:rsidR="006E4A66" w:rsidRPr="006E4A66" w:rsidRDefault="006E4A66" w:rsidP="00CF17A5">
            <w:pPr>
              <w:spacing w:after="0" w:line="240" w:lineRule="auto"/>
            </w:pPr>
            <w:r w:rsidRPr="006E4A66">
              <w:t>Not coordinated</w:t>
            </w:r>
          </w:p>
        </w:tc>
        <w:tc>
          <w:tcPr>
            <w:tcW w:w="812" w:type="pct"/>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6F029E04" w14:textId="77777777" w:rsidR="006E4A66" w:rsidRPr="006E4A66" w:rsidRDefault="006E4A66" w:rsidP="00CF17A5">
            <w:pPr>
              <w:spacing w:after="0" w:line="240" w:lineRule="auto"/>
            </w:pPr>
            <w:r w:rsidRPr="006E4A66">
              <w:t>ESO-led</w:t>
            </w:r>
          </w:p>
        </w:tc>
        <w:tc>
          <w:tcPr>
            <w:tcW w:w="865" w:type="pct"/>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5274E4D5" w14:textId="77777777" w:rsidR="006E4A66" w:rsidRPr="006E4A66" w:rsidRDefault="006E4A66" w:rsidP="00CF17A5">
            <w:pPr>
              <w:spacing w:after="0" w:line="240" w:lineRule="auto"/>
            </w:pPr>
            <w:r w:rsidRPr="006E4A66">
              <w:t xml:space="preserve">Sequential </w:t>
            </w:r>
          </w:p>
          <w:p w14:paraId="697B9013" w14:textId="77777777" w:rsidR="006E4A66" w:rsidRPr="006E4A66" w:rsidRDefault="006E4A66" w:rsidP="00CF17A5">
            <w:pPr>
              <w:spacing w:after="0" w:line="240" w:lineRule="auto"/>
            </w:pPr>
            <w:r w:rsidRPr="006E4A66">
              <w:t>2-stages</w:t>
            </w:r>
          </w:p>
        </w:tc>
        <w:tc>
          <w:tcPr>
            <w:tcW w:w="1194" w:type="pct"/>
            <w:tcBorders>
              <w:top w:val="single" w:sz="24"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44531ACB" w14:textId="77777777" w:rsidR="006E4A66" w:rsidRPr="006E4A66" w:rsidRDefault="006E4A66" w:rsidP="00CF17A5">
            <w:pPr>
              <w:spacing w:after="0" w:line="240" w:lineRule="auto"/>
            </w:pPr>
            <w:r w:rsidRPr="006E4A66">
              <w:t>Integrated by DFC</w:t>
            </w:r>
          </w:p>
        </w:tc>
      </w:tr>
      <w:tr w:rsidR="006E4A66" w:rsidRPr="006E4A66" w14:paraId="731FB2D5" w14:textId="77777777" w:rsidTr="006E4A66">
        <w:trPr>
          <w:trHeight w:val="790"/>
        </w:trPr>
        <w:tc>
          <w:tcPr>
            <w:tcW w:w="1019" w:type="pct"/>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14:paraId="4C14C0F5" w14:textId="77777777" w:rsidR="006E4A66" w:rsidRPr="006E4A66" w:rsidRDefault="006E4A66" w:rsidP="00CF17A5">
            <w:pPr>
              <w:spacing w:after="0" w:line="240" w:lineRule="auto"/>
            </w:pPr>
            <w:r w:rsidRPr="006E4A66">
              <w:t>Availability of distributed flexibility services</w:t>
            </w:r>
          </w:p>
        </w:tc>
        <w:tc>
          <w:tcPr>
            <w:tcW w:w="1110" w:type="pct"/>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14:paraId="533B4A66" w14:textId="77777777" w:rsidR="006E4A66" w:rsidRPr="006E4A66" w:rsidRDefault="006E4A66" w:rsidP="00CF17A5">
            <w:pPr>
              <w:spacing w:after="0" w:line="240" w:lineRule="auto"/>
            </w:pPr>
            <w:r w:rsidRPr="006E4A66">
              <w:t>No DSR</w:t>
            </w:r>
          </w:p>
          <w:p w14:paraId="24A20B44" w14:textId="77777777" w:rsidR="006E4A66" w:rsidRPr="006E4A66" w:rsidRDefault="006E4A66" w:rsidP="00CF17A5">
            <w:pPr>
              <w:spacing w:after="0" w:line="240" w:lineRule="auto"/>
            </w:pPr>
            <w:r w:rsidRPr="006E4A66">
              <w:t xml:space="preserve">Limited distributed storage (3GW at current level) </w:t>
            </w:r>
          </w:p>
        </w:tc>
        <w:tc>
          <w:tcPr>
            <w:tcW w:w="812" w:type="pct"/>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14:paraId="7796EBDE" w14:textId="77777777" w:rsidR="006E4A66" w:rsidRPr="006E4A66" w:rsidRDefault="006E4A66" w:rsidP="00CF17A5">
            <w:pPr>
              <w:spacing w:after="0" w:line="240" w:lineRule="auto"/>
            </w:pPr>
            <w:r w:rsidRPr="006E4A66">
              <w:t>High</w:t>
            </w:r>
          </w:p>
        </w:tc>
        <w:tc>
          <w:tcPr>
            <w:tcW w:w="865" w:type="pct"/>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14:paraId="73E39E61" w14:textId="77777777" w:rsidR="006E4A66" w:rsidRPr="006E4A66" w:rsidRDefault="006E4A66" w:rsidP="00CF17A5">
            <w:pPr>
              <w:spacing w:after="0" w:line="240" w:lineRule="auto"/>
            </w:pPr>
            <w:r w:rsidRPr="006E4A66">
              <w:t>High</w:t>
            </w:r>
          </w:p>
        </w:tc>
        <w:tc>
          <w:tcPr>
            <w:tcW w:w="1194" w:type="pct"/>
            <w:tcBorders>
              <w:top w:val="single" w:sz="8" w:space="0" w:color="FFFFFF"/>
              <w:left w:val="single" w:sz="8" w:space="0" w:color="FFFFFF"/>
              <w:bottom w:val="single" w:sz="8" w:space="0" w:color="FFFFFF"/>
              <w:right w:val="single" w:sz="8" w:space="0" w:color="FFFFFF"/>
            </w:tcBorders>
            <w:shd w:val="clear" w:color="auto" w:fill="E7E7E7"/>
            <w:tcMar>
              <w:top w:w="72" w:type="dxa"/>
              <w:left w:w="144" w:type="dxa"/>
              <w:bottom w:w="72" w:type="dxa"/>
              <w:right w:w="144" w:type="dxa"/>
            </w:tcMar>
            <w:hideMark/>
          </w:tcPr>
          <w:p w14:paraId="7E3FDD74" w14:textId="77777777" w:rsidR="006E4A66" w:rsidRPr="006E4A66" w:rsidRDefault="006E4A66" w:rsidP="00CF17A5">
            <w:pPr>
              <w:spacing w:after="0" w:line="240" w:lineRule="auto"/>
            </w:pPr>
            <w:r w:rsidRPr="006E4A66">
              <w:t>High</w:t>
            </w:r>
          </w:p>
        </w:tc>
      </w:tr>
      <w:tr w:rsidR="006E4A66" w:rsidRPr="006E4A66" w14:paraId="2CFC6D90" w14:textId="77777777" w:rsidTr="006E4A66">
        <w:trPr>
          <w:trHeight w:val="790"/>
        </w:trPr>
        <w:tc>
          <w:tcPr>
            <w:tcW w:w="1019" w:type="pct"/>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221C93C9" w14:textId="77777777" w:rsidR="006E4A66" w:rsidRPr="006E4A66" w:rsidRDefault="006E4A66" w:rsidP="00CF17A5">
            <w:pPr>
              <w:spacing w:after="0" w:line="240" w:lineRule="auto"/>
            </w:pPr>
            <w:r w:rsidRPr="006E4A66">
              <w:t>Sector-coupling flexibility</w:t>
            </w:r>
          </w:p>
        </w:tc>
        <w:tc>
          <w:tcPr>
            <w:tcW w:w="1110" w:type="pct"/>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3D5E49FB" w14:textId="77777777" w:rsidR="006E4A66" w:rsidRPr="006E4A66" w:rsidRDefault="006E4A66" w:rsidP="00CF17A5">
            <w:pPr>
              <w:spacing w:after="0" w:line="240" w:lineRule="auto"/>
            </w:pPr>
            <w:r w:rsidRPr="006E4A66">
              <w:t>Yes</w:t>
            </w:r>
          </w:p>
        </w:tc>
        <w:tc>
          <w:tcPr>
            <w:tcW w:w="812" w:type="pct"/>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6548F25B" w14:textId="77777777" w:rsidR="006E4A66" w:rsidRPr="006E4A66" w:rsidRDefault="006E4A66" w:rsidP="00CF17A5">
            <w:pPr>
              <w:spacing w:after="0" w:line="240" w:lineRule="auto"/>
            </w:pPr>
            <w:r w:rsidRPr="006E4A66">
              <w:t>Yes</w:t>
            </w:r>
          </w:p>
        </w:tc>
        <w:tc>
          <w:tcPr>
            <w:tcW w:w="865" w:type="pct"/>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3A867489" w14:textId="77777777" w:rsidR="006E4A66" w:rsidRPr="006E4A66" w:rsidRDefault="006E4A66" w:rsidP="00CF17A5">
            <w:pPr>
              <w:spacing w:after="0" w:line="240" w:lineRule="auto"/>
            </w:pPr>
            <w:r w:rsidRPr="006E4A66">
              <w:t>Yes</w:t>
            </w:r>
          </w:p>
        </w:tc>
        <w:tc>
          <w:tcPr>
            <w:tcW w:w="1194" w:type="pct"/>
            <w:tcBorders>
              <w:top w:val="single" w:sz="8" w:space="0" w:color="FFFFFF"/>
              <w:left w:val="single" w:sz="8" w:space="0" w:color="FFFFFF"/>
              <w:bottom w:val="single" w:sz="8" w:space="0" w:color="FFFFFF"/>
              <w:right w:val="single" w:sz="8" w:space="0" w:color="FFFFFF"/>
            </w:tcBorders>
            <w:shd w:val="clear" w:color="auto" w:fill="CBCBCB"/>
            <w:tcMar>
              <w:top w:w="72" w:type="dxa"/>
              <w:left w:w="144" w:type="dxa"/>
              <w:bottom w:w="72" w:type="dxa"/>
              <w:right w:w="144" w:type="dxa"/>
            </w:tcMar>
            <w:hideMark/>
          </w:tcPr>
          <w:p w14:paraId="53317FB0" w14:textId="77777777" w:rsidR="006E4A66" w:rsidRPr="006E4A66" w:rsidRDefault="006E4A66" w:rsidP="00CF17A5">
            <w:pPr>
              <w:spacing w:after="0" w:line="240" w:lineRule="auto"/>
            </w:pPr>
            <w:r w:rsidRPr="006E4A66">
              <w:t>Yes</w:t>
            </w:r>
          </w:p>
        </w:tc>
      </w:tr>
    </w:tbl>
    <w:p w14:paraId="7EB696CD" w14:textId="77777777" w:rsidR="00695101" w:rsidRDefault="00695101" w:rsidP="001124E1">
      <w:pPr>
        <w:pStyle w:val="BodyText0"/>
      </w:pPr>
      <w:bookmarkStart w:id="15" w:name="_Ref79956168"/>
      <w:bookmarkEnd w:id="8"/>
    </w:p>
    <w:p w14:paraId="627A61B6" w14:textId="5A58EDB7" w:rsidR="00235E5A" w:rsidRDefault="00235E5A" w:rsidP="001124E1">
      <w:pPr>
        <w:pStyle w:val="BodyText0"/>
      </w:pPr>
      <w:r>
        <w:t xml:space="preserve">As the flexibility requirements are system specific, we analyse two main scenarios of future energy systems where the heating demand is decarbonised through hydrogen ("H2") as the first scenario and through electrification ("ELEC") using electric heating </w:t>
      </w:r>
      <w:proofErr w:type="gramStart"/>
      <w:r>
        <w:t>( a</w:t>
      </w:r>
      <w:proofErr w:type="gramEnd"/>
      <w:r>
        <w:t xml:space="preserve"> combination of heat pumps and resistive heating) as the second scenario. Details of the energy system backgrounds and assumptions used in the studies can be found in Appendix A.</w:t>
      </w:r>
    </w:p>
    <w:p w14:paraId="14003B7C" w14:textId="76624443" w:rsidR="00C94639" w:rsidRPr="0056306A" w:rsidRDefault="00C94639" w:rsidP="00C94639">
      <w:pPr>
        <w:pStyle w:val="Heading2"/>
      </w:pPr>
      <w:bookmarkStart w:id="16" w:name="_Toc135829955"/>
      <w:r w:rsidRPr="0056306A">
        <w:t>Summary of the approach</w:t>
      </w:r>
      <w:bookmarkEnd w:id="15"/>
      <w:bookmarkEnd w:id="16"/>
    </w:p>
    <w:p w14:paraId="67F6C2AF" w14:textId="1F0E10CC" w:rsidR="00C94639" w:rsidRDefault="00C94639" w:rsidP="007D1E20">
      <w:pPr>
        <w:pStyle w:val="BodyText0"/>
      </w:pPr>
      <w:r w:rsidRPr="0056306A">
        <w:t xml:space="preserve">An integrated whole energy systems model (IWES) </w:t>
      </w:r>
      <w:r w:rsidR="00CB5474">
        <w:t>was</w:t>
      </w:r>
      <w:r w:rsidRPr="0056306A">
        <w:t xml:space="preserve"> used to quantify the system impacts of different </w:t>
      </w:r>
      <w:r w:rsidR="00146208">
        <w:t>scenarios</w:t>
      </w:r>
      <w:r w:rsidRPr="0056306A">
        <w:t xml:space="preserve">. IWES is a least-cost optimisation model that </w:t>
      </w:r>
      <w:r w:rsidR="00146208">
        <w:t>minimises</w:t>
      </w:r>
      <w:r w:rsidRPr="0056306A">
        <w:t xml:space="preserve"> long-term investment and short-term operating costs across </w:t>
      </w:r>
      <w:r w:rsidR="00C038ED" w:rsidRPr="0056306A">
        <w:t>multi-</w:t>
      </w:r>
      <w:r w:rsidRPr="0056306A">
        <w:t>energy system</w:t>
      </w:r>
      <w:r w:rsidR="00C038ED" w:rsidRPr="0056306A">
        <w:t>s</w:t>
      </w:r>
      <w:r w:rsidRPr="0056306A">
        <w:t xml:space="preserve"> (electricity, heating, hydrogen) from the supply side, </w:t>
      </w:r>
      <w:r w:rsidR="00146208">
        <w:t xml:space="preserve">and </w:t>
      </w:r>
      <w:r w:rsidRPr="0056306A">
        <w:t>energy network to the end-customers while meeting the required carbon targets and system security constraints. IWES also optimises the deployment of flexibility technologies such as energy storage (thermal, electricity, hydrogen), demand response technologies (e.g. smart electric vehicle charging system with and without vehicle-to-grid capability, industrial and commercial sector demand response), interconnection</w:t>
      </w:r>
      <w:r w:rsidR="00C038ED" w:rsidRPr="0056306A">
        <w:t xml:space="preserve"> with Europe</w:t>
      </w:r>
      <w:r w:rsidRPr="0056306A">
        <w:t xml:space="preserve">, electrolysers, and generation flexibility to ensure adequate generation capacity during the peak demand with low renewable outputs. </w:t>
      </w:r>
    </w:p>
    <w:p w14:paraId="6F7C2CAC" w14:textId="7E0566BA" w:rsidR="00305ECF" w:rsidRPr="0056306A" w:rsidRDefault="00305ECF" w:rsidP="007D1E20">
      <w:pPr>
        <w:pStyle w:val="BodyText0"/>
      </w:pPr>
      <w:r>
        <w:fldChar w:fldCharType="begin"/>
      </w:r>
      <w:r>
        <w:instrText xml:space="preserve"> REF _Ref86944207 \h </w:instrText>
      </w:r>
      <w:r>
        <w:fldChar w:fldCharType="separate"/>
      </w:r>
      <w:r w:rsidR="00080C1D" w:rsidRPr="0056306A">
        <w:t xml:space="preserve">Figure </w:t>
      </w:r>
      <w:r w:rsidR="00080C1D">
        <w:rPr>
          <w:noProof/>
        </w:rPr>
        <w:t>1</w:t>
      </w:r>
      <w:r w:rsidR="00080C1D" w:rsidRPr="0056306A">
        <w:noBreakHyphen/>
      </w:r>
      <w:r w:rsidR="00080C1D">
        <w:rPr>
          <w:noProof/>
        </w:rPr>
        <w:t>2</w:t>
      </w:r>
      <w:r>
        <w:fldChar w:fldCharType="end"/>
      </w:r>
      <w:r>
        <w:t xml:space="preserve"> illustrates the interactions across different system components considered in IWES</w:t>
      </w:r>
      <w:r w:rsidR="00A940EA">
        <w:t>.</w:t>
      </w:r>
      <w:r>
        <w:t xml:space="preserve"> </w:t>
      </w:r>
      <w:r w:rsidR="0060158C">
        <w:fldChar w:fldCharType="begin"/>
      </w:r>
      <w:r w:rsidR="0060158C">
        <w:instrText xml:space="preserve"> REF _Ref93503166 \h </w:instrText>
      </w:r>
      <w:r w:rsidR="0060158C">
        <w:fldChar w:fldCharType="separate"/>
      </w:r>
      <w:r w:rsidR="00080C1D" w:rsidRPr="0056306A">
        <w:t xml:space="preserve">Figure </w:t>
      </w:r>
      <w:r w:rsidR="00080C1D">
        <w:rPr>
          <w:noProof/>
        </w:rPr>
        <w:t>1</w:t>
      </w:r>
      <w:r w:rsidR="00080C1D" w:rsidRPr="0056306A">
        <w:noBreakHyphen/>
      </w:r>
      <w:r w:rsidR="00080C1D">
        <w:rPr>
          <w:noProof/>
        </w:rPr>
        <w:t>3</w:t>
      </w:r>
      <w:r w:rsidR="0060158C">
        <w:fldChar w:fldCharType="end"/>
      </w:r>
      <w:r w:rsidR="0060158C">
        <w:t xml:space="preserve"> </w:t>
      </w:r>
      <w:r>
        <w:t xml:space="preserve">shows that the model considers the energy system from the local district level to a national system and the </w:t>
      </w:r>
      <w:r w:rsidR="00A940EA">
        <w:t>UK and European energy systems</w:t>
      </w:r>
      <w:r w:rsidR="00CF17A5">
        <w:t>'</w:t>
      </w:r>
      <w:r w:rsidR="00A940EA">
        <w:t xml:space="preserve"> interactions</w:t>
      </w:r>
      <w:r>
        <w:t>. IWES also considers the system</w:t>
      </w:r>
      <w:r w:rsidR="00146208">
        <w:t>'s</w:t>
      </w:r>
      <w:r>
        <w:t xml:space="preserve"> operational requirements</w:t>
      </w:r>
      <w:r w:rsidR="00146208">
        <w:t>,</w:t>
      </w:r>
      <w:r>
        <w:t xml:space="preserve"> such as frequency response and reserves </w:t>
      </w:r>
      <w:r w:rsidR="00A940EA">
        <w:t>(</w:t>
      </w:r>
      <w:r>
        <w:t>which has a timeframe of milliseconds to minutes</w:t>
      </w:r>
      <w:r w:rsidR="00A940EA">
        <w:t>)</w:t>
      </w:r>
      <w:r>
        <w:t xml:space="preserve">, dispatch problems (hours, </w:t>
      </w:r>
      <w:proofErr w:type="gramStart"/>
      <w:r>
        <w:t>days</w:t>
      </w:r>
      <w:proofErr w:type="gramEnd"/>
      <w:r>
        <w:t xml:space="preserve"> or seasons), and long-term investment problems (years) simultaneously.</w:t>
      </w:r>
    </w:p>
    <w:p w14:paraId="55FE34CB" w14:textId="6A637F1C" w:rsidR="00C94639" w:rsidRDefault="00C94639" w:rsidP="00C94639">
      <w:r w:rsidRPr="0056306A">
        <w:t xml:space="preserve"> </w:t>
      </w:r>
    </w:p>
    <w:p w14:paraId="31541CD7" w14:textId="0AC61DBF" w:rsidR="00C914CD" w:rsidRPr="0056306A" w:rsidRDefault="00C914CD" w:rsidP="0000113A">
      <w:pPr>
        <w:jc w:val="center"/>
      </w:pPr>
      <w:r w:rsidRPr="0045126F">
        <w:rPr>
          <w:noProof/>
        </w:rPr>
        <w:lastRenderedPageBreak/>
        <w:drawing>
          <wp:inline distT="0" distB="0" distL="0" distR="0" wp14:anchorId="6D6FE3F4" wp14:editId="4A2EEE8B">
            <wp:extent cx="5659601" cy="5661964"/>
            <wp:effectExtent l="0" t="0" r="0" b="0"/>
            <wp:docPr id="37" name="Picture 37" descr="Diagram, schematic&#10;&#10;Description automatically generated">
              <a:extLst xmlns:a="http://schemas.openxmlformats.org/drawingml/2006/main">
                <a:ext uri="{FF2B5EF4-FFF2-40B4-BE49-F238E27FC236}">
                  <a16:creationId xmlns:a16="http://schemas.microsoft.com/office/drawing/2014/main" id="{13D96106-B884-48E9-90FD-F77F1C159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5" descr="Diagram, schematic&#10;&#10;Description automatically generated">
                      <a:extLst>
                        <a:ext uri="{FF2B5EF4-FFF2-40B4-BE49-F238E27FC236}">
                          <a16:creationId xmlns:a16="http://schemas.microsoft.com/office/drawing/2014/main" id="{13D96106-B884-48E9-90FD-F77F1C159000}"/>
                        </a:ext>
                      </a:extLst>
                    </pic:cNvPr>
                    <pic:cNvPicPr>
                      <a:picLocks noChangeAspect="1"/>
                    </pic:cNvPicPr>
                  </pic:nvPicPr>
                  <pic:blipFill>
                    <a:blip r:embed="rId17"/>
                    <a:stretch>
                      <a:fillRect/>
                    </a:stretch>
                  </pic:blipFill>
                  <pic:spPr>
                    <a:xfrm>
                      <a:off x="0" y="0"/>
                      <a:ext cx="5689433" cy="5691808"/>
                    </a:xfrm>
                    <a:prstGeom prst="rect">
                      <a:avLst/>
                    </a:prstGeom>
                  </pic:spPr>
                </pic:pic>
              </a:graphicData>
            </a:graphic>
          </wp:inline>
        </w:drawing>
      </w:r>
    </w:p>
    <w:p w14:paraId="143C2F6F" w14:textId="21D4FC03" w:rsidR="00C94639" w:rsidRDefault="00C94639" w:rsidP="00C94639">
      <w:pPr>
        <w:pStyle w:val="Caption"/>
      </w:pPr>
      <w:bookmarkStart w:id="17" w:name="_Ref86944207"/>
      <w:r w:rsidRPr="0056306A">
        <w:t xml:space="preserve">Figure </w:t>
      </w:r>
      <w:r>
        <w:fldChar w:fldCharType="begin"/>
      </w:r>
      <w:r>
        <w:instrText>STYLEREF 1 \s</w:instrText>
      </w:r>
      <w:r>
        <w:fldChar w:fldCharType="separate"/>
      </w:r>
      <w:r w:rsidR="00080C1D">
        <w:rPr>
          <w:noProof/>
        </w:rPr>
        <w:t>1</w:t>
      </w:r>
      <w:r>
        <w:fldChar w:fldCharType="end"/>
      </w:r>
      <w:r w:rsidRPr="0056306A">
        <w:noBreakHyphen/>
      </w:r>
      <w:r>
        <w:fldChar w:fldCharType="begin"/>
      </w:r>
      <w:r>
        <w:instrText>SEQ Figure \* ARABIC \s 1</w:instrText>
      </w:r>
      <w:r>
        <w:fldChar w:fldCharType="separate"/>
      </w:r>
      <w:r w:rsidR="00080C1D">
        <w:rPr>
          <w:noProof/>
        </w:rPr>
        <w:t>2</w:t>
      </w:r>
      <w:r>
        <w:fldChar w:fldCharType="end"/>
      </w:r>
      <w:bookmarkEnd w:id="17"/>
      <w:r w:rsidRPr="0056306A">
        <w:t xml:space="preserve"> </w:t>
      </w:r>
      <w:r w:rsidR="00C038ED" w:rsidRPr="0056306A">
        <w:t xml:space="preserve">Integrated whole-energy system </w:t>
      </w:r>
      <w:proofErr w:type="gramStart"/>
      <w:r w:rsidR="00C038ED" w:rsidRPr="0056306A">
        <w:t>model</w:t>
      </w:r>
      <w:proofErr w:type="gramEnd"/>
    </w:p>
    <w:p w14:paraId="0DC26EB9" w14:textId="771E5CD6" w:rsidR="00C914CD" w:rsidRDefault="00C914CD" w:rsidP="00C914CD"/>
    <w:p w14:paraId="62DC6F55" w14:textId="79E38B40" w:rsidR="00C914CD" w:rsidRDefault="00C914CD" w:rsidP="00C914CD">
      <w:r w:rsidRPr="0056306A">
        <w:rPr>
          <w:noProof/>
        </w:rPr>
        <w:lastRenderedPageBreak/>
        <w:drawing>
          <wp:inline distT="0" distB="0" distL="0" distR="0" wp14:anchorId="6FDA7133" wp14:editId="2BC95BF3">
            <wp:extent cx="5909053" cy="6381750"/>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a:picLocks noChangeAspect="1" noChangeArrowheads="1"/>
                    </pic:cNvPicPr>
                  </pic:nvPicPr>
                  <pic:blipFill rotWithShape="1">
                    <a:blip r:embed="rId18">
                      <a:extLst>
                        <a:ext uri="{28A0092B-C50C-407E-A947-70E740481C1C}">
                          <a14:useLocalDpi xmlns:a14="http://schemas.microsoft.com/office/drawing/2010/main" val="0"/>
                        </a:ext>
                      </a:extLst>
                    </a:blip>
                    <a:srcRect l="40861"/>
                    <a:stretch/>
                  </pic:blipFill>
                  <pic:spPr bwMode="auto">
                    <a:xfrm>
                      <a:off x="0" y="0"/>
                      <a:ext cx="5909053" cy="6381750"/>
                    </a:xfrm>
                    <a:prstGeom prst="rect">
                      <a:avLst/>
                    </a:prstGeom>
                    <a:noFill/>
                    <a:ln>
                      <a:noFill/>
                    </a:ln>
                    <a:extLst>
                      <a:ext uri="{53640926-AAD7-44D8-BBD7-CCE9431645EC}">
                        <a14:shadowObscured xmlns:a14="http://schemas.microsoft.com/office/drawing/2010/main"/>
                      </a:ext>
                    </a:extLst>
                  </pic:spPr>
                </pic:pic>
              </a:graphicData>
            </a:graphic>
          </wp:inline>
        </w:drawing>
      </w:r>
    </w:p>
    <w:p w14:paraId="29620F56" w14:textId="4049B355" w:rsidR="00C914CD" w:rsidRPr="00C914CD" w:rsidRDefault="00C914CD" w:rsidP="0060158C">
      <w:pPr>
        <w:pStyle w:val="Caption"/>
      </w:pPr>
      <w:bookmarkStart w:id="18" w:name="_Ref93503166"/>
      <w:r w:rsidRPr="0056306A">
        <w:t xml:space="preserve">Figure </w:t>
      </w:r>
      <w:r>
        <w:fldChar w:fldCharType="begin"/>
      </w:r>
      <w:r>
        <w:instrText>STYLEREF 1 \s</w:instrText>
      </w:r>
      <w:r>
        <w:fldChar w:fldCharType="separate"/>
      </w:r>
      <w:r w:rsidR="00080C1D">
        <w:rPr>
          <w:noProof/>
        </w:rPr>
        <w:t>1</w:t>
      </w:r>
      <w:r>
        <w:fldChar w:fldCharType="end"/>
      </w:r>
      <w:r w:rsidRPr="0056306A">
        <w:noBreakHyphen/>
      </w:r>
      <w:r>
        <w:fldChar w:fldCharType="begin"/>
      </w:r>
      <w:r>
        <w:instrText>SEQ Figure \* ARABIC \s 1</w:instrText>
      </w:r>
      <w:r>
        <w:fldChar w:fldCharType="separate"/>
      </w:r>
      <w:r w:rsidR="00080C1D">
        <w:rPr>
          <w:noProof/>
        </w:rPr>
        <w:t>3</w:t>
      </w:r>
      <w:r>
        <w:fldChar w:fldCharType="end"/>
      </w:r>
      <w:bookmarkEnd w:id="18"/>
      <w:r w:rsidRPr="0056306A">
        <w:t xml:space="preserve"> </w:t>
      </w:r>
      <w:r w:rsidR="0060158C">
        <w:t xml:space="preserve">Temporal and spatial aspects considered in </w:t>
      </w:r>
      <w:proofErr w:type="gramStart"/>
      <w:r w:rsidR="0060158C">
        <w:t>IWES</w:t>
      </w:r>
      <w:proofErr w:type="gramEnd"/>
    </w:p>
    <w:p w14:paraId="63F4728A" w14:textId="65271121" w:rsidR="00C94639" w:rsidRPr="0056306A" w:rsidRDefault="00C038ED" w:rsidP="00C94639">
      <w:r w:rsidRPr="0056306A">
        <w:t xml:space="preserve">Annual system costs and the energy system infrastructure proposed by the model in different scenarios can be compared to analyse the factors </w:t>
      </w:r>
      <w:r w:rsidR="00146208">
        <w:t>influencing</w:t>
      </w:r>
      <w:r w:rsidRPr="0056306A">
        <w:t xml:space="preserve"> </w:t>
      </w:r>
      <w:r w:rsidR="00146208">
        <w:t>the techno-economic performance of different ESO-DSO coordination approaches</w:t>
      </w:r>
      <w:r w:rsidRPr="0056306A">
        <w:t xml:space="preserve">. </w:t>
      </w:r>
      <w:r w:rsidR="00305ECF" w:rsidRPr="0056306A">
        <w:t xml:space="preserve">A more detailed description of the model can be found in </w:t>
      </w:r>
      <w:r w:rsidR="00305ECF" w:rsidRPr="0056306A">
        <w:fldChar w:fldCharType="begin"/>
      </w:r>
      <w:r w:rsidR="00305ECF" w:rsidRPr="0056306A">
        <w:instrText xml:space="preserve"> REF _Ref76116676 \w \h  \* MERGEFORMAT </w:instrText>
      </w:r>
      <w:r w:rsidR="00305ECF" w:rsidRPr="0056306A">
        <w:fldChar w:fldCharType="separate"/>
      </w:r>
      <w:r w:rsidR="00080C1D">
        <w:t>Appendix B</w:t>
      </w:r>
      <w:r w:rsidR="00305ECF" w:rsidRPr="0056306A">
        <w:fldChar w:fldCharType="end"/>
      </w:r>
      <w:r w:rsidR="00305ECF" w:rsidRPr="0056306A">
        <w:t>.</w:t>
      </w:r>
    </w:p>
    <w:p w14:paraId="4BBD32F7" w14:textId="77777777" w:rsidR="00C94639" w:rsidRPr="0056306A" w:rsidRDefault="00C94639">
      <w:pPr>
        <w:jc w:val="left"/>
        <w:rPr>
          <w:rFonts w:asciiTheme="majorHAnsi" w:eastAsiaTheme="majorEastAsia" w:hAnsiTheme="majorHAnsi" w:cstheme="majorBidi"/>
          <w:b/>
          <w:bCs/>
          <w:color w:val="365F91" w:themeColor="accent1" w:themeShade="BF"/>
          <w:sz w:val="52"/>
          <w:szCs w:val="52"/>
        </w:rPr>
      </w:pPr>
      <w:r w:rsidRPr="0056306A">
        <w:br w:type="page"/>
      </w:r>
    </w:p>
    <w:p w14:paraId="3B97711B" w14:textId="735B957F" w:rsidR="006F3F94" w:rsidRPr="0056306A" w:rsidRDefault="00506E4B" w:rsidP="00903EB8">
      <w:pPr>
        <w:pStyle w:val="Heading1"/>
        <w:rPr>
          <w:lang w:val="en-GB"/>
        </w:rPr>
      </w:pPr>
      <w:bookmarkStart w:id="19" w:name="_Toc135829956"/>
      <w:r>
        <w:rPr>
          <w:lang w:val="en-GB"/>
        </w:rPr>
        <w:lastRenderedPageBreak/>
        <w:t>System Benefits of Alternative ESO-DSO Coordination Schemes</w:t>
      </w:r>
      <w:bookmarkEnd w:id="19"/>
    </w:p>
    <w:p w14:paraId="3010A32D" w14:textId="77777777" w:rsidR="00BE7137" w:rsidRPr="0056306A" w:rsidRDefault="00BE7137" w:rsidP="00903EB8"/>
    <w:p w14:paraId="78A26C5A" w14:textId="63291F94" w:rsidR="00695101" w:rsidRDefault="00506E4B" w:rsidP="00235E5A">
      <w:pPr>
        <w:pStyle w:val="BulletPoint1"/>
        <w:numPr>
          <w:ilvl w:val="0"/>
          <w:numId w:val="0"/>
        </w:numPr>
      </w:pPr>
      <w:r>
        <w:t>The benefits of improving ESO and DSO coordination were analysed qualitatively with a lack of quantitative evidence and comprehensive insight into how different coordination schemes may impact future energy system development. Hence, the importance of improving ESO-DSO coordination becomes unclear, which does not motivate faster progress in this area. In that context, our studies aim to provide more insight through quantitative studies to understand better how different coordination schemes would affect system development and system costs.</w:t>
      </w:r>
      <w:r w:rsidR="00235E5A">
        <w:t xml:space="preserve"> </w:t>
      </w:r>
    </w:p>
    <w:p w14:paraId="0EDF3D52" w14:textId="23314D92" w:rsidR="001D2ACE" w:rsidRDefault="00252C37" w:rsidP="00182696">
      <w:pPr>
        <w:pStyle w:val="Heading2"/>
      </w:pPr>
      <w:bookmarkStart w:id="20" w:name="_Toc135829957"/>
      <w:r>
        <w:t>Annual system cost</w:t>
      </w:r>
      <w:r w:rsidR="00F62C17">
        <w:t xml:space="preserve"> performance</w:t>
      </w:r>
      <w:bookmarkEnd w:id="20"/>
    </w:p>
    <w:p w14:paraId="7207A6EB" w14:textId="20A46F5B" w:rsidR="00182696" w:rsidRDefault="00235E5A" w:rsidP="00182696">
      <w:r>
        <w:fldChar w:fldCharType="begin"/>
      </w:r>
      <w:r>
        <w:instrText xml:space="preserve"> REF _Ref135372463 \h </w:instrText>
      </w:r>
      <w:r>
        <w:fldChar w:fldCharType="separate"/>
      </w:r>
      <w:r w:rsidRPr="0056306A">
        <w:t xml:space="preserve">Figure </w:t>
      </w:r>
      <w:r>
        <w:rPr>
          <w:noProof/>
        </w:rPr>
        <w:t>2</w:t>
      </w:r>
      <w:r w:rsidRPr="0056306A">
        <w:noBreakHyphen/>
      </w:r>
      <w:r>
        <w:rPr>
          <w:noProof/>
        </w:rPr>
        <w:t>1</w:t>
      </w:r>
      <w:r>
        <w:fldChar w:fldCharType="end"/>
      </w:r>
      <w:r>
        <w:t xml:space="preserve"> shows the annual system costs</w:t>
      </w:r>
      <w:r>
        <w:rPr>
          <w:rStyle w:val="FootnoteReference"/>
        </w:rPr>
        <w:footnoteReference w:id="2"/>
      </w:r>
      <w:r>
        <w:t xml:space="preserve"> of different cases in two heat decarbonisation scenarios, i.e. H2 (hydrogen) and ELEC (deep electrification)</w:t>
      </w:r>
      <w:r w:rsidR="00B701A3">
        <w:t xml:space="preserve">. </w:t>
      </w:r>
    </w:p>
    <w:p w14:paraId="775F22A8" w14:textId="732CCF05" w:rsidR="00695101" w:rsidRDefault="00695101" w:rsidP="00235E5A">
      <w:pPr>
        <w:spacing w:after="0"/>
        <w:jc w:val="center"/>
      </w:pPr>
      <w:r w:rsidRPr="00695101">
        <w:rPr>
          <w:noProof/>
        </w:rPr>
        <w:drawing>
          <wp:inline distT="0" distB="0" distL="0" distR="0" wp14:anchorId="190EDE44" wp14:editId="1E45AB57">
            <wp:extent cx="4814570" cy="3597525"/>
            <wp:effectExtent l="0" t="0" r="5080" b="3175"/>
            <wp:docPr id="1878855704" name="Picture 1878855704">
              <a:extLst xmlns:a="http://schemas.openxmlformats.org/drawingml/2006/main">
                <a:ext uri="{FF2B5EF4-FFF2-40B4-BE49-F238E27FC236}">
                  <a16:creationId xmlns:a16="http://schemas.microsoft.com/office/drawing/2014/main" id="{AD99DD42-9827-F359-753F-67ED30788C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AD99DD42-9827-F359-753F-67ED30788CEB}"/>
                        </a:ext>
                      </a:extLst>
                    </pic:cNvPr>
                    <pic:cNvPicPr>
                      <a:picLocks noChangeAspect="1"/>
                    </pic:cNvPicPr>
                  </pic:nvPicPr>
                  <pic:blipFill>
                    <a:blip r:embed="rId19"/>
                    <a:stretch>
                      <a:fillRect/>
                    </a:stretch>
                  </pic:blipFill>
                  <pic:spPr>
                    <a:xfrm>
                      <a:off x="0" y="0"/>
                      <a:ext cx="4845739" cy="3620815"/>
                    </a:xfrm>
                    <a:prstGeom prst="rect">
                      <a:avLst/>
                    </a:prstGeom>
                  </pic:spPr>
                </pic:pic>
              </a:graphicData>
            </a:graphic>
          </wp:inline>
        </w:drawing>
      </w:r>
    </w:p>
    <w:p w14:paraId="2CBAB6CD" w14:textId="69DFD1BD" w:rsidR="002F7C50" w:rsidRDefault="002F7C50" w:rsidP="002F7C50">
      <w:pPr>
        <w:pStyle w:val="Caption"/>
      </w:pPr>
      <w:bookmarkStart w:id="21" w:name="_Ref135372463"/>
      <w:r w:rsidRPr="0056306A">
        <w:t xml:space="preserve">Figure </w:t>
      </w:r>
      <w:r>
        <w:fldChar w:fldCharType="begin"/>
      </w:r>
      <w:r>
        <w:instrText>STYLEREF 1 \s</w:instrText>
      </w:r>
      <w:r>
        <w:fldChar w:fldCharType="separate"/>
      </w:r>
      <w:r>
        <w:rPr>
          <w:noProof/>
        </w:rPr>
        <w:t>2</w:t>
      </w:r>
      <w:r>
        <w:fldChar w:fldCharType="end"/>
      </w:r>
      <w:r w:rsidRPr="0056306A">
        <w:noBreakHyphen/>
      </w:r>
      <w:r>
        <w:fldChar w:fldCharType="begin"/>
      </w:r>
      <w:r>
        <w:instrText>SEQ Figure \* ARABIC \s 1</w:instrText>
      </w:r>
      <w:r>
        <w:fldChar w:fldCharType="separate"/>
      </w:r>
      <w:r>
        <w:rPr>
          <w:noProof/>
        </w:rPr>
        <w:t>1</w:t>
      </w:r>
      <w:r>
        <w:fldChar w:fldCharType="end"/>
      </w:r>
      <w:bookmarkEnd w:id="21"/>
      <w:r w:rsidRPr="0056306A">
        <w:t xml:space="preserve"> </w:t>
      </w:r>
      <w:r w:rsidR="00331FC1">
        <w:t xml:space="preserve">Annual system cost performance of various </w:t>
      </w:r>
      <w:proofErr w:type="gramStart"/>
      <w:r w:rsidR="00331FC1">
        <w:t>cases</w:t>
      </w:r>
      <w:proofErr w:type="gramEnd"/>
      <w:r w:rsidR="00331FC1">
        <w:t xml:space="preserve"> </w:t>
      </w:r>
    </w:p>
    <w:p w14:paraId="3A23BA47" w14:textId="6EF2F6BD" w:rsidR="00235E5A" w:rsidRDefault="00235E5A" w:rsidP="00235E5A">
      <w:r>
        <w:lastRenderedPageBreak/>
        <w:t xml:space="preserve">The annual system costs include the CAPEX investment (C:) of electricity generation, electricity network (transmission, distribution, interconnection), energy storage, heating appliances (electric, gas), district heating system, hydrogen supply, network, storage, and Carbon Capture and Storage (CCS) infrastructure, and demand response (DR) flexibility resources, OPEX (O:) of electricity, </w:t>
      </w:r>
      <w:proofErr w:type="gramStart"/>
      <w:r>
        <w:t>hydrogen</w:t>
      </w:r>
      <w:proofErr w:type="gramEnd"/>
      <w:r>
        <w:t xml:space="preserve"> and CCS systems. As the model suggests that Great Britain will be the net exporter of electricity in future, the cost of energy being exported will need to be offset from the annual system costs (R: Electricity export). All CAPEX </w:t>
      </w:r>
      <w:proofErr w:type="gramStart"/>
      <w:r>
        <w:t>are</w:t>
      </w:r>
      <w:proofErr w:type="gramEnd"/>
      <w:r>
        <w:t xml:space="preserve"> presented in annual costs considering different lifetimes and financing costs of different technologies in the model. This approach allows the costs to be summed up with the annual OPEX to enable direct comparison with the costs of different systems proposed by the model influenced by the selected coordination schemes.</w:t>
      </w:r>
    </w:p>
    <w:p w14:paraId="43168C64" w14:textId="3A5CAE38" w:rsidR="00F62C17" w:rsidRDefault="00F62C17" w:rsidP="00235E5A">
      <w:r>
        <w:t>The modelling results demonstrate:</w:t>
      </w:r>
    </w:p>
    <w:p w14:paraId="2942CBDF" w14:textId="469E874A" w:rsidR="00F62C17" w:rsidRPr="009E596A" w:rsidRDefault="00F62C17" w:rsidP="00F62C17">
      <w:pPr>
        <w:pStyle w:val="BulletPoint1"/>
        <w:rPr>
          <w:i/>
          <w:iCs/>
        </w:rPr>
      </w:pPr>
      <w:r>
        <w:t>Harnessing and utilising distributed flexibility resources saves the annual system costs between 7.4- 7.8 £bn/year in H2 and 9-11.3 £bn/year in ELEC. Business-as-Usual approach already captures 80% - 95% of the economic benefits of distributed flexibility resources.</w:t>
      </w:r>
      <w:r w:rsidR="009E596A">
        <w:t xml:space="preserve"> </w:t>
      </w:r>
      <w:r w:rsidR="009E596A" w:rsidRPr="009E596A">
        <w:rPr>
          <w:i/>
          <w:iCs/>
        </w:rPr>
        <w:t>It is worth noting that the analysis does not include the costs of implementing the schemes</w:t>
      </w:r>
      <w:r w:rsidR="004C6243">
        <w:rPr>
          <w:i/>
          <w:iCs/>
        </w:rPr>
        <w:t>,</w:t>
      </w:r>
      <w:r w:rsidR="009E596A" w:rsidRPr="009E596A">
        <w:rPr>
          <w:i/>
          <w:iCs/>
        </w:rPr>
        <w:t xml:space="preserve"> and therefore, the savings are gross.</w:t>
      </w:r>
    </w:p>
    <w:p w14:paraId="202F87B3" w14:textId="4797A392" w:rsidR="00F62C17" w:rsidRDefault="00F62C17" w:rsidP="00F62C17">
      <w:pPr>
        <w:pStyle w:val="BulletPoint1"/>
      </w:pPr>
      <w:r>
        <w:t xml:space="preserve">Electrification is </w:t>
      </w:r>
      <w:r w:rsidR="007C14E8">
        <w:t>one of</w:t>
      </w:r>
      <w:r>
        <w:t xml:space="preserve"> major driver</w:t>
      </w:r>
      <w:r w:rsidR="007C14E8">
        <w:t>s</w:t>
      </w:r>
      <w:r>
        <w:t xml:space="preserve"> for utilising distributed flexibility resources. Electrification occurs in both hydrogen and deep electrification pathways in different magnitudes. Therefore, deep electrification requires a more holistic approach to coordinating distributed flexibility resources.</w:t>
      </w:r>
    </w:p>
    <w:p w14:paraId="16944393" w14:textId="74D4CF49" w:rsidR="00F62C17" w:rsidRDefault="00F62C17" w:rsidP="00F62C17">
      <w:pPr>
        <w:pStyle w:val="BulletPoint1"/>
      </w:pPr>
      <w:r>
        <w:t>Different coordination schemes will affect the energy system's investment and operational costs; therefore, it is crucial to decide it carefully as it has long-term effects.</w:t>
      </w:r>
    </w:p>
    <w:p w14:paraId="00E0A998" w14:textId="77D5C6F1" w:rsidR="00F62C17" w:rsidRDefault="00F62C17" w:rsidP="00F62C17">
      <w:pPr>
        <w:pStyle w:val="BulletPoint1"/>
      </w:pPr>
      <w:r>
        <w:fldChar w:fldCharType="begin"/>
      </w:r>
      <w:r>
        <w:instrText xml:space="preserve"> REF _Ref135381472 \h </w:instrText>
      </w:r>
      <w:r>
        <w:fldChar w:fldCharType="separate"/>
      </w:r>
      <w:r w:rsidRPr="0056306A">
        <w:t xml:space="preserve">Figure </w:t>
      </w:r>
      <w:r>
        <w:rPr>
          <w:noProof/>
        </w:rPr>
        <w:t>2</w:t>
      </w:r>
      <w:r w:rsidRPr="0056306A">
        <w:noBreakHyphen/>
      </w:r>
      <w:r>
        <w:rPr>
          <w:noProof/>
        </w:rPr>
        <w:t>2</w:t>
      </w:r>
      <w:r>
        <w:fldChar w:fldCharType="end"/>
      </w:r>
      <w:r>
        <w:t xml:space="preserve"> shows the savings (negative changes) and additional costs (positive changes) in different cases (BaU, Scheme 1[S1], Scheme 2[S2]) against the counterfactual scenario (</w:t>
      </w:r>
      <w:r w:rsidR="009B6286">
        <w:t>"</w:t>
      </w:r>
      <w:r>
        <w:t>0</w:t>
      </w:r>
      <w:r w:rsidR="009B6286">
        <w:t>"</w:t>
      </w:r>
      <w:r>
        <w:t>). The main savings attributed to distributed flexibility are in the mitigation cost of investment in low-carbon power generation and distribution networks. Customers</w:t>
      </w:r>
      <w:r w:rsidR="009B6286">
        <w:t>'</w:t>
      </w:r>
      <w:r>
        <w:t xml:space="preserve"> flexibility also reduces end-user</w:t>
      </w:r>
      <w:r w:rsidR="004C6243">
        <w:t>s'</w:t>
      </w:r>
      <w:r>
        <w:t xml:space="preserve"> appliance costs, such as heat pumps. Heat storage can reduce the size of heat pumps needed. Moreover, the savings happen not only in the electricity sector but also in other system costs, such as the reduced investment needed in electrolysers and hydrogen storage. </w:t>
      </w:r>
    </w:p>
    <w:p w14:paraId="4CB512E6" w14:textId="71D6D593" w:rsidR="00F62C17" w:rsidRDefault="00F62C17" w:rsidP="00F62C17">
      <w:pPr>
        <w:pStyle w:val="BulletPoint1"/>
      </w:pPr>
      <w:r>
        <w:t>The savings can be achieved if there is some investment in flexibility sources such as heat storage, electricity storage, and demand response technologies. There are also some additional costs offsetting the savings coming from alternative lower-cost technologies to supply heat (e.g</w:t>
      </w:r>
      <w:r w:rsidR="004C6243">
        <w:t>.</w:t>
      </w:r>
      <w:r>
        <w:t xml:space="preserve"> resistive heating [RH]) and hydrogen production technologies such as Auto Thermal Reformers (ATRs). The cost of procuring and utilising distributed flexibility is much lower than its benefits.</w:t>
      </w:r>
    </w:p>
    <w:p w14:paraId="44DB89EF" w14:textId="092E3ED4" w:rsidR="00F62C17" w:rsidRDefault="00F62C17" w:rsidP="00F62C17">
      <w:pPr>
        <w:pStyle w:val="BulletPoint1"/>
        <w:numPr>
          <w:ilvl w:val="0"/>
          <w:numId w:val="0"/>
        </w:numPr>
        <w:ind w:left="720"/>
      </w:pPr>
    </w:p>
    <w:p w14:paraId="04192E19" w14:textId="38F56B57" w:rsidR="00235E5A" w:rsidRDefault="00235E5A" w:rsidP="00235E5A">
      <w:r>
        <w:t xml:space="preserve"> </w:t>
      </w:r>
    </w:p>
    <w:p w14:paraId="03E4EC71" w14:textId="7D8B5878" w:rsidR="00695101" w:rsidRDefault="00695101" w:rsidP="00F62C17">
      <w:pPr>
        <w:jc w:val="center"/>
      </w:pPr>
      <w:r w:rsidRPr="00695101">
        <w:rPr>
          <w:noProof/>
        </w:rPr>
        <w:lastRenderedPageBreak/>
        <w:drawing>
          <wp:inline distT="0" distB="0" distL="0" distR="0" wp14:anchorId="65CDF092" wp14:editId="624DA122">
            <wp:extent cx="4714875" cy="4602348"/>
            <wp:effectExtent l="0" t="0" r="0" b="8255"/>
            <wp:docPr id="778432632" name="Picture 778432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432632" name=""/>
                    <pic:cNvPicPr/>
                  </pic:nvPicPr>
                  <pic:blipFill>
                    <a:blip r:embed="rId20"/>
                    <a:stretch>
                      <a:fillRect/>
                    </a:stretch>
                  </pic:blipFill>
                  <pic:spPr>
                    <a:xfrm>
                      <a:off x="0" y="0"/>
                      <a:ext cx="4717728" cy="4605133"/>
                    </a:xfrm>
                    <a:prstGeom prst="rect">
                      <a:avLst/>
                    </a:prstGeom>
                  </pic:spPr>
                </pic:pic>
              </a:graphicData>
            </a:graphic>
          </wp:inline>
        </w:drawing>
      </w:r>
    </w:p>
    <w:p w14:paraId="3EB54153" w14:textId="7ED5308B" w:rsidR="002F7C50" w:rsidRPr="0056306A" w:rsidRDefault="002F7C50" w:rsidP="002F7C50">
      <w:pPr>
        <w:pStyle w:val="Caption"/>
      </w:pPr>
      <w:bookmarkStart w:id="22" w:name="_Ref135381472"/>
      <w:r w:rsidRPr="0056306A">
        <w:t xml:space="preserve">Figure </w:t>
      </w:r>
      <w:r>
        <w:fldChar w:fldCharType="begin"/>
      </w:r>
      <w:r>
        <w:instrText>STYLEREF 1 \s</w:instrText>
      </w:r>
      <w:r>
        <w:fldChar w:fldCharType="separate"/>
      </w:r>
      <w:r w:rsidR="00331FC1">
        <w:rPr>
          <w:noProof/>
        </w:rPr>
        <w:t>2</w:t>
      </w:r>
      <w:r>
        <w:fldChar w:fldCharType="end"/>
      </w:r>
      <w:r w:rsidRPr="0056306A">
        <w:noBreakHyphen/>
      </w:r>
      <w:r>
        <w:fldChar w:fldCharType="begin"/>
      </w:r>
      <w:r>
        <w:instrText>SEQ Figure \* ARABIC \s 1</w:instrText>
      </w:r>
      <w:r>
        <w:fldChar w:fldCharType="separate"/>
      </w:r>
      <w:r w:rsidR="00331FC1">
        <w:rPr>
          <w:noProof/>
        </w:rPr>
        <w:t>2</w:t>
      </w:r>
      <w:r>
        <w:fldChar w:fldCharType="end"/>
      </w:r>
      <w:bookmarkEnd w:id="22"/>
      <w:r w:rsidRPr="0056306A">
        <w:t xml:space="preserve"> </w:t>
      </w:r>
      <w:r w:rsidR="00331FC1">
        <w:t xml:space="preserve">Changes in annual systems costs due to distributed flexibility sources with different coordination </w:t>
      </w:r>
      <w:proofErr w:type="gramStart"/>
      <w:r w:rsidR="00331FC1">
        <w:t>schemes</w:t>
      </w:r>
      <w:proofErr w:type="gramEnd"/>
    </w:p>
    <w:p w14:paraId="2D76B973" w14:textId="77777777" w:rsidR="002F7C50" w:rsidRDefault="002F7C50" w:rsidP="00182696"/>
    <w:p w14:paraId="1780ACCC" w14:textId="7C277FB7" w:rsidR="00252C37" w:rsidRDefault="00252C37" w:rsidP="00252C37">
      <w:pPr>
        <w:pStyle w:val="Heading2"/>
      </w:pPr>
      <w:bookmarkStart w:id="23" w:name="_Toc135829958"/>
      <w:r>
        <w:t>System benefits of improving coordination schemes</w:t>
      </w:r>
      <w:bookmarkEnd w:id="23"/>
    </w:p>
    <w:p w14:paraId="594EB5C4" w14:textId="2FD05512" w:rsidR="00695101" w:rsidRDefault="00F62C17" w:rsidP="00182696">
      <w:r>
        <w:t xml:space="preserve">Focusing on the benefits of improving ESO-DSO coordination, we use the results of BaU scheme as the counterfactual and analysed the changes in the system cost attributed to the application of Scheme 1 (S1) and Scheme 2 (S2) against the BaU case. Although the BaU approach captures 80% - 95% of the economic benefits of distributed flexibility resources, improving the coordination can save a further 0.4 – 2.3 £bn/year, which is still a substantial cost saving. The results are shown in </w:t>
      </w:r>
      <w:r>
        <w:fldChar w:fldCharType="begin"/>
      </w:r>
      <w:r>
        <w:instrText xml:space="preserve"> REF _Ref135383234 \h </w:instrText>
      </w:r>
      <w:r>
        <w:fldChar w:fldCharType="separate"/>
      </w:r>
      <w:r w:rsidRPr="0056306A">
        <w:t xml:space="preserve">Figure </w:t>
      </w:r>
      <w:r>
        <w:rPr>
          <w:noProof/>
        </w:rPr>
        <w:t>2</w:t>
      </w:r>
      <w:r w:rsidRPr="0056306A">
        <w:noBreakHyphen/>
      </w:r>
      <w:r>
        <w:rPr>
          <w:noProof/>
        </w:rPr>
        <w:t>3</w:t>
      </w:r>
      <w:r>
        <w:fldChar w:fldCharType="end"/>
      </w:r>
      <w:r>
        <w:t>.</w:t>
      </w:r>
    </w:p>
    <w:p w14:paraId="03A06B1F" w14:textId="49F7C7EC" w:rsidR="00F62C17" w:rsidRDefault="00F62C17" w:rsidP="00182696">
      <w:r>
        <w:t>The results indicate the following:</w:t>
      </w:r>
    </w:p>
    <w:p w14:paraId="076A1A14" w14:textId="592D5EC8" w:rsidR="00695101" w:rsidRDefault="00F62C17" w:rsidP="00E53D4C">
      <w:pPr>
        <w:pStyle w:val="BulletPoint1"/>
      </w:pPr>
      <w:r>
        <w:t>Compare</w:t>
      </w:r>
      <w:r w:rsidR="00F53133">
        <w:t>d</w:t>
      </w:r>
      <w:r>
        <w:t xml:space="preserve"> with </w:t>
      </w:r>
      <w:r w:rsidR="00F53133">
        <w:t xml:space="preserve">the </w:t>
      </w:r>
      <w:r>
        <w:t>BaU</w:t>
      </w:r>
      <w:r w:rsidR="00F53133">
        <w:t xml:space="preserve"> approach, which is</w:t>
      </w:r>
      <w:r>
        <w:t xml:space="preserve"> ESO-led coordination, </w:t>
      </w:r>
      <w:r w:rsidR="00F53133">
        <w:t>Schemes 1 and 2 savings</w:t>
      </w:r>
      <w:r>
        <w:t xml:space="preserve"> are mainly in distribution network costs and flexibility provided by the hydrogen system, which can be substituted by distributed flexibility (electricity, heat storage and demand response). There </w:t>
      </w:r>
      <w:r w:rsidR="00F53133">
        <w:t>are</w:t>
      </w:r>
      <w:r>
        <w:t xml:space="preserve"> increased requirements for more efficient electric heating as </w:t>
      </w:r>
      <w:r w:rsidR="00F53133">
        <w:t xml:space="preserve">the </w:t>
      </w:r>
      <w:r>
        <w:t xml:space="preserve">investment in heat pumps increases (compensated by the reduction in resistive heating cost). </w:t>
      </w:r>
    </w:p>
    <w:p w14:paraId="2CFCE5DE" w14:textId="3BA0159E" w:rsidR="00695101" w:rsidRDefault="00695101" w:rsidP="00F62C17">
      <w:pPr>
        <w:jc w:val="center"/>
      </w:pPr>
      <w:r>
        <w:rPr>
          <w:noProof/>
        </w:rPr>
        <w:lastRenderedPageBreak/>
        <w:drawing>
          <wp:inline distT="0" distB="0" distL="0" distR="0" wp14:anchorId="69F9860B" wp14:editId="43424676">
            <wp:extent cx="5212715" cy="5505450"/>
            <wp:effectExtent l="0" t="0" r="6985" b="0"/>
            <wp:docPr id="25304933" name="Picture 25304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12715" cy="5505450"/>
                    </a:xfrm>
                    <a:prstGeom prst="rect">
                      <a:avLst/>
                    </a:prstGeom>
                    <a:noFill/>
                  </pic:spPr>
                </pic:pic>
              </a:graphicData>
            </a:graphic>
          </wp:inline>
        </w:drawing>
      </w:r>
    </w:p>
    <w:p w14:paraId="0146478C" w14:textId="336468B1" w:rsidR="002F7C50" w:rsidRPr="0056306A" w:rsidRDefault="002F7C50" w:rsidP="002F7C50">
      <w:pPr>
        <w:pStyle w:val="Caption"/>
      </w:pPr>
      <w:bookmarkStart w:id="24" w:name="_Ref135383234"/>
      <w:r w:rsidRPr="0056306A">
        <w:t xml:space="preserve">Figure </w:t>
      </w:r>
      <w:r>
        <w:fldChar w:fldCharType="begin"/>
      </w:r>
      <w:r>
        <w:instrText>STYLEREF 1 \s</w:instrText>
      </w:r>
      <w:r>
        <w:fldChar w:fldCharType="separate"/>
      </w:r>
      <w:r w:rsidR="00331FC1">
        <w:rPr>
          <w:noProof/>
        </w:rPr>
        <w:t>2</w:t>
      </w:r>
      <w:r>
        <w:fldChar w:fldCharType="end"/>
      </w:r>
      <w:r w:rsidRPr="0056306A">
        <w:noBreakHyphen/>
      </w:r>
      <w:r>
        <w:fldChar w:fldCharType="begin"/>
      </w:r>
      <w:r>
        <w:instrText>SEQ Figure \* ARABIC \s 1</w:instrText>
      </w:r>
      <w:r>
        <w:fldChar w:fldCharType="separate"/>
      </w:r>
      <w:r w:rsidR="00331FC1">
        <w:rPr>
          <w:noProof/>
        </w:rPr>
        <w:t>3</w:t>
      </w:r>
      <w:r>
        <w:fldChar w:fldCharType="end"/>
      </w:r>
      <w:bookmarkEnd w:id="24"/>
      <w:r w:rsidRPr="0056306A">
        <w:t xml:space="preserve"> </w:t>
      </w:r>
      <w:r w:rsidR="00331FC1">
        <w:t xml:space="preserve">Changes in annual system costs due to the shift from BaU to Scheme 1 and 2 </w:t>
      </w:r>
    </w:p>
    <w:p w14:paraId="7946A8AC" w14:textId="0EB5D7CA" w:rsidR="00F62C17" w:rsidRDefault="00F62C17" w:rsidP="00F62C17">
      <w:pPr>
        <w:pStyle w:val="BulletPoint1"/>
      </w:pPr>
      <w:r>
        <w:t>The benefits of S1 and S2 in H2 are lower than those in deep electrification. Again, this highlights the need for moving to S2, especially in the deep electrification scenario. However, if the future system relies on hydrogen for decarbonising heating, the business case for improving the BaU approach becomes less.</w:t>
      </w:r>
    </w:p>
    <w:p w14:paraId="42097E7D" w14:textId="15D91657" w:rsidR="002F7C50" w:rsidRPr="00182696" w:rsidRDefault="005D3222" w:rsidP="00182696">
      <w:pPr>
        <w:pStyle w:val="BulletPoint1"/>
      </w:pPr>
      <w:r>
        <w:t>The total magnitude of changes in S2 compared to BaU is less than in S1. The results suggest that the transition from BaU to S2 relatively involves fewer changes than the transition to S2.</w:t>
      </w:r>
    </w:p>
    <w:p w14:paraId="54BDC0D5" w14:textId="112C0098" w:rsidR="00686372" w:rsidRDefault="00686372" w:rsidP="00686372">
      <w:pPr>
        <w:pStyle w:val="Heading2"/>
      </w:pPr>
      <w:bookmarkStart w:id="25" w:name="_Toc135829959"/>
      <w:r>
        <w:t xml:space="preserve">Impact of </w:t>
      </w:r>
      <w:r w:rsidR="005D3222">
        <w:t>alternative</w:t>
      </w:r>
      <w:r>
        <w:t xml:space="preserve"> coordination schemes on distribution electricity peak demand</w:t>
      </w:r>
      <w:bookmarkEnd w:id="25"/>
    </w:p>
    <w:p w14:paraId="72E44371" w14:textId="7FA8127B" w:rsidR="001D2ACE" w:rsidRDefault="005D2840" w:rsidP="007C4B98">
      <w:r>
        <w:t xml:space="preserve">One of the key challenges in coordinating ESO – DSO usage of distributed flexibility resources is finding the economic balance when applying those resources may create conflicts. As wind power is expected to be the dominant energy source in future, a scenario where demand needs to increase following wind output becomes more likely. However, shifting demand to follow wind may increase electricity </w:t>
      </w:r>
      <w:r>
        <w:lastRenderedPageBreak/>
        <w:t xml:space="preserve">peak demand, and therefore, it requires a sufficiently strong distribution network to allow that flexibility to happen. The modelling results illustrated in </w:t>
      </w:r>
      <w:r>
        <w:fldChar w:fldCharType="begin"/>
      </w:r>
      <w:r>
        <w:instrText xml:space="preserve"> REF _Ref135385906 \h </w:instrText>
      </w:r>
      <w:r>
        <w:fldChar w:fldCharType="separate"/>
      </w:r>
      <w:r w:rsidRPr="0056306A">
        <w:t xml:space="preserve">Figure </w:t>
      </w:r>
      <w:r>
        <w:rPr>
          <w:noProof/>
        </w:rPr>
        <w:t>2</w:t>
      </w:r>
      <w:r w:rsidRPr="0056306A">
        <w:noBreakHyphen/>
      </w:r>
      <w:r>
        <w:rPr>
          <w:noProof/>
        </w:rPr>
        <w:t>4</w:t>
      </w:r>
      <w:r>
        <w:fldChar w:fldCharType="end"/>
      </w:r>
      <w:r>
        <w:t xml:space="preserve"> provide insight into the impact of different cases on the electricity peak demand at distribution.</w:t>
      </w:r>
    </w:p>
    <w:p w14:paraId="546A006F" w14:textId="77777777" w:rsidR="00695101" w:rsidRDefault="00695101" w:rsidP="001D2ACE">
      <w:pPr>
        <w:jc w:val="center"/>
      </w:pPr>
    </w:p>
    <w:p w14:paraId="32B56F28" w14:textId="317F790E" w:rsidR="00695101" w:rsidRDefault="00695101" w:rsidP="001D2ACE">
      <w:pPr>
        <w:jc w:val="center"/>
      </w:pPr>
      <w:r w:rsidRPr="00695101">
        <w:rPr>
          <w:noProof/>
        </w:rPr>
        <w:drawing>
          <wp:inline distT="0" distB="0" distL="0" distR="0" wp14:anchorId="0253D9B1" wp14:editId="31C67990">
            <wp:extent cx="5760085" cy="3354070"/>
            <wp:effectExtent l="0" t="0" r="0" b="0"/>
            <wp:docPr id="5" name="Picture 5">
              <a:extLst xmlns:a="http://schemas.openxmlformats.org/drawingml/2006/main">
                <a:ext uri="{FF2B5EF4-FFF2-40B4-BE49-F238E27FC236}">
                  <a16:creationId xmlns:a16="http://schemas.microsoft.com/office/drawing/2014/main" id="{4FE16BA9-301A-DB03-5823-F626009364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4FE16BA9-301A-DB03-5823-F626009364A8}"/>
                        </a:ext>
                      </a:extLst>
                    </pic:cNvPr>
                    <pic:cNvPicPr>
                      <a:picLocks noChangeAspect="1"/>
                    </pic:cNvPicPr>
                  </pic:nvPicPr>
                  <pic:blipFill>
                    <a:blip r:embed="rId22"/>
                    <a:stretch>
                      <a:fillRect/>
                    </a:stretch>
                  </pic:blipFill>
                  <pic:spPr>
                    <a:xfrm>
                      <a:off x="0" y="0"/>
                      <a:ext cx="5760085" cy="3354070"/>
                    </a:xfrm>
                    <a:prstGeom prst="rect">
                      <a:avLst/>
                    </a:prstGeom>
                  </pic:spPr>
                </pic:pic>
              </a:graphicData>
            </a:graphic>
          </wp:inline>
        </w:drawing>
      </w:r>
    </w:p>
    <w:p w14:paraId="2630AA06" w14:textId="689A6C39" w:rsidR="002F7C50" w:rsidRPr="0056306A" w:rsidRDefault="002F7C50" w:rsidP="002F7C50">
      <w:pPr>
        <w:pStyle w:val="Caption"/>
      </w:pPr>
      <w:bookmarkStart w:id="26" w:name="_Ref135385906"/>
      <w:r w:rsidRPr="0056306A">
        <w:t xml:space="preserve">Figure </w:t>
      </w:r>
      <w:r>
        <w:fldChar w:fldCharType="begin"/>
      </w:r>
      <w:r>
        <w:instrText>STYLEREF 1 \s</w:instrText>
      </w:r>
      <w:r>
        <w:fldChar w:fldCharType="separate"/>
      </w:r>
      <w:r w:rsidR="005D2840">
        <w:rPr>
          <w:noProof/>
        </w:rPr>
        <w:t>2</w:t>
      </w:r>
      <w:r>
        <w:fldChar w:fldCharType="end"/>
      </w:r>
      <w:r w:rsidRPr="0056306A">
        <w:noBreakHyphen/>
      </w:r>
      <w:r>
        <w:fldChar w:fldCharType="begin"/>
      </w:r>
      <w:r>
        <w:instrText>SEQ Figure \* ARABIC \s 1</w:instrText>
      </w:r>
      <w:r>
        <w:fldChar w:fldCharType="separate"/>
      </w:r>
      <w:r w:rsidR="005D2840">
        <w:rPr>
          <w:noProof/>
        </w:rPr>
        <w:t>4</w:t>
      </w:r>
      <w:r>
        <w:fldChar w:fldCharType="end"/>
      </w:r>
      <w:bookmarkEnd w:id="26"/>
      <w:r w:rsidRPr="0056306A">
        <w:t xml:space="preserve"> </w:t>
      </w:r>
      <w:r w:rsidR="005D2840">
        <w:t>Electricity distribution capacity</w:t>
      </w:r>
      <w:r w:rsidR="007C4B98">
        <w:t xml:space="preserve"> under different coordination </w:t>
      </w:r>
      <w:proofErr w:type="gramStart"/>
      <w:r w:rsidR="007C4B98">
        <w:t>schemes</w:t>
      </w:r>
      <w:proofErr w:type="gramEnd"/>
    </w:p>
    <w:p w14:paraId="51D9A8E1" w14:textId="461F39EF" w:rsidR="002F7C50" w:rsidRDefault="005D2840" w:rsidP="005D2840">
      <w:r>
        <w:t>The modelling results demonstrate:</w:t>
      </w:r>
    </w:p>
    <w:p w14:paraId="57B16E0A" w14:textId="085888D9" w:rsidR="005D2840" w:rsidRDefault="005D2840" w:rsidP="005D2840">
      <w:pPr>
        <w:pStyle w:val="BulletPoint1"/>
      </w:pPr>
      <w:r>
        <w:t xml:space="preserve">Electrification will drive substantial distribution network reinforcement in H2 and ELEC scenarios without harnessing and utilising distributed flexibility resources. As a reference, currently, the electricity peak demand is around 60 GW which reflects the ability of distribution to meet that peak demand while providing a certain headroom for security. Electrification will drive the peak demand up to 158 GW (in deep electrification), 2.5 times the current peak demand. Even when some heating demand is decarbonised through hydrogen heating, the peak demand will increase about two times. </w:t>
      </w:r>
    </w:p>
    <w:p w14:paraId="7AD22524" w14:textId="7BBB29CF" w:rsidR="005D2840" w:rsidRPr="005D2840" w:rsidRDefault="00F53133" w:rsidP="005D2840">
      <w:pPr>
        <w:pStyle w:val="BulletPoint1"/>
      </w:pPr>
      <w:r>
        <w:t>Harnessing and utilising</w:t>
      </w:r>
      <w:r w:rsidR="005D2840">
        <w:t xml:space="preserve"> distributed f</w:t>
      </w:r>
      <w:r w:rsidR="005D2840" w:rsidRPr="005D2840">
        <w:t>lexibility</w:t>
      </w:r>
      <w:r w:rsidR="005D2840">
        <w:t xml:space="preserve"> resources, even in BaU, can reduce the required electricity distribution network capacity. However, a</w:t>
      </w:r>
      <w:r w:rsidR="005D2840" w:rsidRPr="005D2840">
        <w:t xml:space="preserve">cross </w:t>
      </w:r>
      <w:r w:rsidR="005D2840">
        <w:t>three</w:t>
      </w:r>
      <w:r w:rsidR="005D2840" w:rsidRPr="005D2840">
        <w:t xml:space="preserve"> coordination schemes, BaU requires the highest capacity as the impact of using DER services on distribution is less considered forcing distribution to be stronger.</w:t>
      </w:r>
    </w:p>
    <w:p w14:paraId="1560C615" w14:textId="3FF2683C" w:rsidR="005D2840" w:rsidRDefault="005D2840" w:rsidP="005D2840">
      <w:pPr>
        <w:pStyle w:val="BulletPoint1"/>
      </w:pPr>
      <w:r w:rsidRPr="005D2840">
        <w:t>A better coordination scheme reduces further distribution capacity requirement</w:t>
      </w:r>
      <w:r>
        <w:t>s</w:t>
      </w:r>
      <w:r w:rsidRPr="005D2840">
        <w:t>.</w:t>
      </w:r>
      <w:r>
        <w:t xml:space="preserve"> </w:t>
      </w:r>
      <w:r w:rsidRPr="005D2840">
        <w:t>S1 is more DSO oriented</w:t>
      </w:r>
      <w:r>
        <w:t>,</w:t>
      </w:r>
      <w:r w:rsidRPr="005D2840">
        <w:t xml:space="preserve"> leading to the lowest requirement of distribution network capacity.</w:t>
      </w:r>
      <w:r>
        <w:t xml:space="preserve"> </w:t>
      </w:r>
    </w:p>
    <w:p w14:paraId="62504B5F" w14:textId="42E0E28D" w:rsidR="005D2840" w:rsidRDefault="005D2840" w:rsidP="005D2840">
      <w:pPr>
        <w:pStyle w:val="BulletPoint1"/>
      </w:pPr>
      <w:r w:rsidRPr="005D2840">
        <w:t xml:space="preserve">S2 incentivises a higher distribution capacity than S1 </w:t>
      </w:r>
      <w:r>
        <w:t xml:space="preserve">(but less than BaU), </w:t>
      </w:r>
      <w:r w:rsidRPr="005D2840">
        <w:t>enabling more flexibility from DER to be harnessed to support the system operation.</w:t>
      </w:r>
    </w:p>
    <w:p w14:paraId="2868603F" w14:textId="77777777" w:rsidR="005D2840" w:rsidRDefault="005D2840" w:rsidP="005D2840">
      <w:pPr>
        <w:pStyle w:val="BulletPoint1"/>
        <w:numPr>
          <w:ilvl w:val="0"/>
          <w:numId w:val="0"/>
        </w:numPr>
      </w:pPr>
    </w:p>
    <w:p w14:paraId="26CF58C0" w14:textId="7902AB52" w:rsidR="005D2840" w:rsidRDefault="005D2840" w:rsidP="005D2840">
      <w:pPr>
        <w:pStyle w:val="BulletPoint1"/>
        <w:numPr>
          <w:ilvl w:val="0"/>
          <w:numId w:val="0"/>
        </w:numPr>
      </w:pPr>
      <w:r>
        <w:t>It is worth noting that having a strategy to minimise distribution network reinforcement cost is not the best strategy as it constrains the flexibility of distributed resources to support national energy systems.</w:t>
      </w:r>
    </w:p>
    <w:p w14:paraId="5EAF6BF0" w14:textId="2333C34F" w:rsidR="00695101" w:rsidRDefault="00686372" w:rsidP="00686372">
      <w:pPr>
        <w:pStyle w:val="Heading2"/>
      </w:pPr>
      <w:bookmarkStart w:id="27" w:name="_Toc135829960"/>
      <w:r>
        <w:lastRenderedPageBreak/>
        <w:t>Impact of different coordination schemes on annual electricity demand</w:t>
      </w:r>
      <w:bookmarkEnd w:id="27"/>
    </w:p>
    <w:p w14:paraId="7CC2DD63" w14:textId="264AB4DE" w:rsidR="00695101" w:rsidRDefault="009B6286" w:rsidP="005D2840">
      <w:r>
        <w:t>Distributed flexibility resources work in tandem with the flexibility provided at the transmission level. One of the technologies providing flexibility at transmission is large-scale electrolysers</w:t>
      </w:r>
      <w:r>
        <w:rPr>
          <w:rStyle w:val="FootnoteReference"/>
        </w:rPr>
        <w:footnoteReference w:id="3"/>
      </w:r>
      <w:r>
        <w:t xml:space="preserve">. Our analysis shows that larger electrolyser activities (shown by a higher annual electricity load of electrolysers) occur when there is low availability or constraints of distributed flexibility. The annual electricity load of different system components </w:t>
      </w:r>
      <w:proofErr w:type="gramStart"/>
      <w:r>
        <w:t>are</w:t>
      </w:r>
      <w:proofErr w:type="gramEnd"/>
      <w:r>
        <w:t xml:space="preserve"> shown in </w:t>
      </w:r>
      <w:r>
        <w:fldChar w:fldCharType="begin"/>
      </w:r>
      <w:r>
        <w:instrText xml:space="preserve"> REF _Ref135388607 \h </w:instrText>
      </w:r>
      <w:r>
        <w:fldChar w:fldCharType="separate"/>
      </w:r>
      <w:r w:rsidRPr="0056306A">
        <w:t xml:space="preserve">Figure </w:t>
      </w:r>
      <w:r>
        <w:rPr>
          <w:noProof/>
        </w:rPr>
        <w:t>2</w:t>
      </w:r>
      <w:r w:rsidRPr="0056306A">
        <w:noBreakHyphen/>
      </w:r>
      <w:r>
        <w:rPr>
          <w:noProof/>
        </w:rPr>
        <w:t>5</w:t>
      </w:r>
      <w:r>
        <w:fldChar w:fldCharType="end"/>
      </w:r>
      <w:r>
        <w:t>.</w:t>
      </w:r>
    </w:p>
    <w:p w14:paraId="5AF04482" w14:textId="59881B24" w:rsidR="00695101" w:rsidRDefault="00695101" w:rsidP="001D2ACE">
      <w:pPr>
        <w:jc w:val="center"/>
      </w:pPr>
      <w:r w:rsidRPr="00695101">
        <w:rPr>
          <w:noProof/>
        </w:rPr>
        <w:drawing>
          <wp:inline distT="0" distB="0" distL="0" distR="0" wp14:anchorId="55860839" wp14:editId="229167F1">
            <wp:extent cx="5760085" cy="3453765"/>
            <wp:effectExtent l="0" t="0" r="0" b="0"/>
            <wp:docPr id="454889377" name="Picture 454889377">
              <a:extLst xmlns:a="http://schemas.openxmlformats.org/drawingml/2006/main">
                <a:ext uri="{FF2B5EF4-FFF2-40B4-BE49-F238E27FC236}">
                  <a16:creationId xmlns:a16="http://schemas.microsoft.com/office/drawing/2014/main" id="{C76F7D33-832B-F54A-EA2B-D17CED6F44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C76F7D33-832B-F54A-EA2B-D17CED6F4464}"/>
                        </a:ext>
                      </a:extLst>
                    </pic:cNvPr>
                    <pic:cNvPicPr>
                      <a:picLocks noChangeAspect="1"/>
                    </pic:cNvPicPr>
                  </pic:nvPicPr>
                  <pic:blipFill>
                    <a:blip r:embed="rId23"/>
                    <a:stretch>
                      <a:fillRect/>
                    </a:stretch>
                  </pic:blipFill>
                  <pic:spPr>
                    <a:xfrm>
                      <a:off x="0" y="0"/>
                      <a:ext cx="5760085" cy="3453765"/>
                    </a:xfrm>
                    <a:prstGeom prst="rect">
                      <a:avLst/>
                    </a:prstGeom>
                  </pic:spPr>
                </pic:pic>
              </a:graphicData>
            </a:graphic>
          </wp:inline>
        </w:drawing>
      </w:r>
    </w:p>
    <w:p w14:paraId="7D2C905A" w14:textId="6222A546" w:rsidR="002F7C50" w:rsidRDefault="002F7C50" w:rsidP="002F7C50">
      <w:pPr>
        <w:pStyle w:val="Caption"/>
      </w:pPr>
      <w:bookmarkStart w:id="28" w:name="_Ref135388607"/>
      <w:r w:rsidRPr="0056306A">
        <w:t xml:space="preserve">Figure </w:t>
      </w:r>
      <w:r>
        <w:fldChar w:fldCharType="begin"/>
      </w:r>
      <w:r>
        <w:instrText>STYLEREF 1 \s</w:instrText>
      </w:r>
      <w:r>
        <w:fldChar w:fldCharType="separate"/>
      </w:r>
      <w:r w:rsidR="009B6286">
        <w:rPr>
          <w:noProof/>
        </w:rPr>
        <w:t>2</w:t>
      </w:r>
      <w:r>
        <w:fldChar w:fldCharType="end"/>
      </w:r>
      <w:r w:rsidRPr="0056306A">
        <w:noBreakHyphen/>
      </w:r>
      <w:r>
        <w:fldChar w:fldCharType="begin"/>
      </w:r>
      <w:r>
        <w:instrText>SEQ Figure \* ARABIC \s 1</w:instrText>
      </w:r>
      <w:r>
        <w:fldChar w:fldCharType="separate"/>
      </w:r>
      <w:r w:rsidR="009B6286">
        <w:rPr>
          <w:noProof/>
        </w:rPr>
        <w:t>5</w:t>
      </w:r>
      <w:r>
        <w:fldChar w:fldCharType="end"/>
      </w:r>
      <w:bookmarkEnd w:id="28"/>
      <w:r w:rsidRPr="0056306A">
        <w:t xml:space="preserve"> </w:t>
      </w:r>
      <w:r w:rsidR="009B6286">
        <w:t>A</w:t>
      </w:r>
      <w:r w:rsidR="00AB65A4" w:rsidRPr="00AB65A4">
        <w:t>nnual electricity demand</w:t>
      </w:r>
      <w:r w:rsidR="009B6286">
        <w:t xml:space="preserve"> in different </w:t>
      </w:r>
      <w:proofErr w:type="gramStart"/>
      <w:r w:rsidR="009B6286">
        <w:t>cases</w:t>
      </w:r>
      <w:proofErr w:type="gramEnd"/>
    </w:p>
    <w:p w14:paraId="0F993A74" w14:textId="6AC10DB5" w:rsidR="008238AA" w:rsidRPr="009B6286" w:rsidRDefault="009B6286" w:rsidP="009B6286">
      <w:r>
        <w:t xml:space="preserve">Excluding the electricity exported to Europe, the application of distributed flexibility resources can reduce GB's annual electricity demand consumption due to the reduction in the electrolyser's load mainly. </w:t>
      </w:r>
      <w:r w:rsidR="008238AA" w:rsidRPr="008238AA">
        <w:t xml:space="preserve">Different coordination schemes do not substantially affect </w:t>
      </w:r>
      <w:r w:rsidR="008238AA">
        <w:t xml:space="preserve">the </w:t>
      </w:r>
      <w:r w:rsidR="008238AA" w:rsidRPr="008238AA">
        <w:t>annual load.</w:t>
      </w:r>
      <w:r w:rsidR="008238AA">
        <w:t xml:space="preserve"> </w:t>
      </w:r>
      <w:r>
        <w:t>While distributed electricity storage load increases in ELEC. The results demonstrate synergy between flexibility sources at different levels, which will increase the complexity and responsibility of the ESO to ensure that those resources are coordinated effectively.</w:t>
      </w:r>
    </w:p>
    <w:p w14:paraId="69C8C71A" w14:textId="2CC4725F" w:rsidR="00AB65A4" w:rsidRDefault="00AB65A4" w:rsidP="00AB65A4">
      <w:pPr>
        <w:pStyle w:val="Heading2"/>
      </w:pPr>
      <w:bookmarkStart w:id="29" w:name="_Toc135829961"/>
      <w:r>
        <w:t xml:space="preserve">Impact of different coordination schemes on </w:t>
      </w:r>
      <w:r w:rsidR="0081209F">
        <w:t>optimal generation mixes</w:t>
      </w:r>
      <w:r w:rsidR="00C14F4B">
        <w:t xml:space="preserve"> and electricity production</w:t>
      </w:r>
      <w:bookmarkEnd w:id="29"/>
    </w:p>
    <w:p w14:paraId="372763CD" w14:textId="23A10019" w:rsidR="002F7C50" w:rsidRDefault="009E596A" w:rsidP="009E596A">
      <w:r>
        <w:t xml:space="preserve">Another interesting modelling result is the impact of different approaches on optimal generation mixes. </w:t>
      </w:r>
      <w:r w:rsidR="00C14F4B">
        <w:t xml:space="preserve">The optimal power generation portfolios of different cases are shown in </w:t>
      </w:r>
      <w:r w:rsidR="00C14F4B">
        <w:fldChar w:fldCharType="begin"/>
      </w:r>
      <w:r w:rsidR="00C14F4B">
        <w:instrText xml:space="preserve"> REF _Ref135390520 \h </w:instrText>
      </w:r>
      <w:r w:rsidR="00C14F4B">
        <w:fldChar w:fldCharType="separate"/>
      </w:r>
      <w:r w:rsidR="00C14F4B" w:rsidRPr="0056306A">
        <w:t xml:space="preserve">Figure </w:t>
      </w:r>
      <w:r w:rsidR="00C14F4B">
        <w:rPr>
          <w:noProof/>
        </w:rPr>
        <w:t>2</w:t>
      </w:r>
      <w:r w:rsidR="00C14F4B" w:rsidRPr="0056306A">
        <w:noBreakHyphen/>
      </w:r>
      <w:r w:rsidR="00C14F4B">
        <w:rPr>
          <w:noProof/>
        </w:rPr>
        <w:t>6</w:t>
      </w:r>
      <w:r w:rsidR="00C14F4B">
        <w:fldChar w:fldCharType="end"/>
      </w:r>
      <w:r w:rsidR="00C14F4B">
        <w:t xml:space="preserve">. </w:t>
      </w:r>
      <w:r>
        <w:t>While the key issue addressed in this study is about different ESO-DSO coordination scheme</w:t>
      </w:r>
      <w:r w:rsidR="0019013F">
        <w:t>s</w:t>
      </w:r>
      <w:r>
        <w:t xml:space="preserve">, the importance of </w:t>
      </w:r>
      <w:r>
        <w:lastRenderedPageBreak/>
        <w:t>this issue exceeds the transmission and distribution development. As shown</w:t>
      </w:r>
      <w:r w:rsidR="0019013F">
        <w:t xml:space="preserve"> previously</w:t>
      </w:r>
      <w:r w:rsidR="00C14F4B">
        <w:t xml:space="preserve"> </w:t>
      </w:r>
      <w:r>
        <w:t xml:space="preserve">in </w:t>
      </w:r>
      <w:r>
        <w:fldChar w:fldCharType="begin"/>
      </w:r>
      <w:r>
        <w:instrText xml:space="preserve"> REF _Ref135381472 \h </w:instrText>
      </w:r>
      <w:r>
        <w:fldChar w:fldCharType="separate"/>
      </w:r>
      <w:r w:rsidRPr="0056306A">
        <w:t xml:space="preserve">Figure </w:t>
      </w:r>
      <w:r>
        <w:rPr>
          <w:noProof/>
        </w:rPr>
        <w:t>2</w:t>
      </w:r>
      <w:r w:rsidRPr="0056306A">
        <w:noBreakHyphen/>
      </w:r>
      <w:r>
        <w:rPr>
          <w:noProof/>
        </w:rPr>
        <w:t>2</w:t>
      </w:r>
      <w:r>
        <w:fldChar w:fldCharType="end"/>
      </w:r>
      <w:r w:rsidR="00C14F4B">
        <w:t xml:space="preserve">, one of the main savings attributed to distribution flexibility resources is the reduction in the low-carbon generation investment. </w:t>
      </w:r>
    </w:p>
    <w:p w14:paraId="6AB4E894" w14:textId="3CB1FD69" w:rsidR="00695101" w:rsidRDefault="00695101" w:rsidP="001D2ACE">
      <w:pPr>
        <w:jc w:val="center"/>
      </w:pPr>
      <w:r w:rsidRPr="00695101">
        <w:rPr>
          <w:noProof/>
        </w:rPr>
        <w:drawing>
          <wp:inline distT="0" distB="0" distL="0" distR="0" wp14:anchorId="135379F7" wp14:editId="047AC3E3">
            <wp:extent cx="4942634" cy="5610144"/>
            <wp:effectExtent l="0" t="0" r="0" b="0"/>
            <wp:docPr id="768063034" name="Picture 768063034">
              <a:extLst xmlns:a="http://schemas.openxmlformats.org/drawingml/2006/main">
                <a:ext uri="{FF2B5EF4-FFF2-40B4-BE49-F238E27FC236}">
                  <a16:creationId xmlns:a16="http://schemas.microsoft.com/office/drawing/2014/main" id="{FD4E877C-A48F-042B-62D5-6728ECC339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FD4E877C-A48F-042B-62D5-6728ECC339DF}"/>
                        </a:ext>
                      </a:extLst>
                    </pic:cNvPr>
                    <pic:cNvPicPr>
                      <a:picLocks noChangeAspect="1"/>
                    </pic:cNvPicPr>
                  </pic:nvPicPr>
                  <pic:blipFill>
                    <a:blip r:embed="rId24"/>
                    <a:stretch>
                      <a:fillRect/>
                    </a:stretch>
                  </pic:blipFill>
                  <pic:spPr>
                    <a:xfrm>
                      <a:off x="0" y="0"/>
                      <a:ext cx="4942634" cy="5610144"/>
                    </a:xfrm>
                    <a:prstGeom prst="rect">
                      <a:avLst/>
                    </a:prstGeom>
                  </pic:spPr>
                </pic:pic>
              </a:graphicData>
            </a:graphic>
          </wp:inline>
        </w:drawing>
      </w:r>
    </w:p>
    <w:p w14:paraId="3647DD39" w14:textId="76B30EF1" w:rsidR="002F7C50" w:rsidRPr="0056306A" w:rsidRDefault="002F7C50" w:rsidP="002F7C50">
      <w:pPr>
        <w:pStyle w:val="Caption"/>
      </w:pPr>
      <w:bookmarkStart w:id="30" w:name="_Ref135390520"/>
      <w:r w:rsidRPr="0056306A">
        <w:t xml:space="preserve">Figure </w:t>
      </w:r>
      <w:r>
        <w:fldChar w:fldCharType="begin"/>
      </w:r>
      <w:r>
        <w:instrText>STYLEREF 1 \s</w:instrText>
      </w:r>
      <w:r>
        <w:fldChar w:fldCharType="separate"/>
      </w:r>
      <w:r w:rsidR="0081209F">
        <w:rPr>
          <w:noProof/>
        </w:rPr>
        <w:t>2</w:t>
      </w:r>
      <w:r>
        <w:fldChar w:fldCharType="end"/>
      </w:r>
      <w:r w:rsidRPr="0056306A">
        <w:noBreakHyphen/>
      </w:r>
      <w:r>
        <w:fldChar w:fldCharType="begin"/>
      </w:r>
      <w:r>
        <w:instrText>SEQ Figure \* ARABIC \s 1</w:instrText>
      </w:r>
      <w:r>
        <w:fldChar w:fldCharType="separate"/>
      </w:r>
      <w:r w:rsidR="0081209F">
        <w:rPr>
          <w:noProof/>
        </w:rPr>
        <w:t>6</w:t>
      </w:r>
      <w:r>
        <w:fldChar w:fldCharType="end"/>
      </w:r>
      <w:bookmarkEnd w:id="30"/>
      <w:r w:rsidRPr="0056306A">
        <w:t xml:space="preserve"> </w:t>
      </w:r>
      <w:r w:rsidR="0081209F" w:rsidRPr="0081209F">
        <w:t xml:space="preserve">Impact of different coordination schemes on optimal generation </w:t>
      </w:r>
      <w:proofErr w:type="gramStart"/>
      <w:r w:rsidR="0081209F" w:rsidRPr="0081209F">
        <w:t>mixes</w:t>
      </w:r>
      <w:proofErr w:type="gramEnd"/>
    </w:p>
    <w:p w14:paraId="7FB74E68" w14:textId="68F0771E" w:rsidR="002F7C50" w:rsidRDefault="00C14F4B" w:rsidP="00C14F4B">
      <w:r>
        <w:t>There are some insights we learned from the modelling result, i.e.</w:t>
      </w:r>
    </w:p>
    <w:p w14:paraId="5B142665" w14:textId="0418FAF0" w:rsidR="00C14F4B" w:rsidRPr="00C14F4B" w:rsidRDefault="00C14F4B" w:rsidP="00C14F4B">
      <w:pPr>
        <w:pStyle w:val="BulletPoint1"/>
      </w:pPr>
      <w:r>
        <w:t>Reiterating the synergy between transmission and distribution flexibility resources discussed earlier, we observe the higher capacity</w:t>
      </w:r>
      <w:r w:rsidRPr="00C14F4B">
        <w:t xml:space="preserve"> of </w:t>
      </w:r>
      <w:r>
        <w:t>hydrogen-fired</w:t>
      </w:r>
      <w:r w:rsidRPr="00C14F4B">
        <w:t xml:space="preserve"> power generation</w:t>
      </w:r>
      <w:r>
        <w:t>, i.e. hydrogen combined cycle gas turbine (H2 CCGT) and open cycle gas turbine (H2 OCGT)</w:t>
      </w:r>
      <w:r w:rsidRPr="00C14F4B">
        <w:t xml:space="preserve"> as transmission-connected flexibility providers in a system with low </w:t>
      </w:r>
      <w:r>
        <w:t>distributed flexibility</w:t>
      </w:r>
      <w:r w:rsidRPr="00C14F4B">
        <w:t xml:space="preserve"> services.</w:t>
      </w:r>
      <w:r>
        <w:t xml:space="preserve"> The role of hydrogen generation is to provide balancing and other ancillary services and firm capacity to meet the peak demand. Distributed flexibility resources substitute the capacity of those hydrogen generators. </w:t>
      </w:r>
    </w:p>
    <w:p w14:paraId="2F11CAFB" w14:textId="3B7B7B10" w:rsidR="00C14F4B" w:rsidRPr="00C14F4B" w:rsidRDefault="00C14F4B" w:rsidP="00C14F4B">
      <w:pPr>
        <w:pStyle w:val="BulletPoint1"/>
      </w:pPr>
      <w:r>
        <w:lastRenderedPageBreak/>
        <w:t>The l</w:t>
      </w:r>
      <w:r w:rsidRPr="00C14F4B">
        <w:t xml:space="preserve">owest </w:t>
      </w:r>
      <w:r>
        <w:t xml:space="preserve">total </w:t>
      </w:r>
      <w:r w:rsidRPr="00C14F4B">
        <w:t>gen</w:t>
      </w:r>
      <w:r>
        <w:t>eration and electricity storage</w:t>
      </w:r>
      <w:r w:rsidRPr="00C14F4B">
        <w:t xml:space="preserve"> capacity </w:t>
      </w:r>
      <w:r>
        <w:t>is found in</w:t>
      </w:r>
      <w:r w:rsidRPr="00C14F4B">
        <w:t xml:space="preserve"> BaU</w:t>
      </w:r>
      <w:r w:rsidR="0019013F">
        <w:t>,</w:t>
      </w:r>
      <w:r>
        <w:t xml:space="preserve"> primarily driven by less </w:t>
      </w:r>
      <w:r w:rsidR="008F6031">
        <w:t>solar PV and electricity storage capacity</w:t>
      </w:r>
      <w:r>
        <w:t xml:space="preserve"> compared to the other Schemes (S1 and S2).</w:t>
      </w:r>
    </w:p>
    <w:p w14:paraId="5295133F" w14:textId="77777777" w:rsidR="00C14F4B" w:rsidRDefault="00C14F4B" w:rsidP="00C14F4B">
      <w:pPr>
        <w:pStyle w:val="BulletPoint1"/>
      </w:pPr>
      <w:r w:rsidRPr="00C14F4B">
        <w:t xml:space="preserve">S1 incentivises </w:t>
      </w:r>
      <w:r>
        <w:t xml:space="preserve">the </w:t>
      </w:r>
      <w:r w:rsidRPr="00C14F4B">
        <w:t>development of more PV and distributed storage to deal with distribution congestion due to increased electrificatio</w:t>
      </w:r>
      <w:r>
        <w:t xml:space="preserve">n. </w:t>
      </w:r>
    </w:p>
    <w:p w14:paraId="46717500" w14:textId="10D83C7C" w:rsidR="00C14F4B" w:rsidRDefault="00C14F4B" w:rsidP="00C14F4B">
      <w:pPr>
        <w:pStyle w:val="BulletPoint1"/>
      </w:pPr>
      <w:r w:rsidRPr="00C14F4B">
        <w:t>S2 provides a more balanced mix</w:t>
      </w:r>
      <w:r>
        <w:t xml:space="preserve"> between BaU and S1. </w:t>
      </w:r>
    </w:p>
    <w:p w14:paraId="58558FF1" w14:textId="77777777" w:rsidR="00C14F4B" w:rsidRDefault="00C14F4B" w:rsidP="00C14F4B">
      <w:pPr>
        <w:pStyle w:val="BulletPoint1"/>
        <w:numPr>
          <w:ilvl w:val="0"/>
          <w:numId w:val="0"/>
        </w:numPr>
      </w:pPr>
    </w:p>
    <w:p w14:paraId="7A5DACD2" w14:textId="0B2CFAF1" w:rsidR="00C14F4B" w:rsidRPr="00C14F4B" w:rsidRDefault="008F6031" w:rsidP="00C14F4B">
      <w:pPr>
        <w:pStyle w:val="BulletPoint1"/>
        <w:numPr>
          <w:ilvl w:val="0"/>
          <w:numId w:val="0"/>
        </w:numPr>
      </w:pPr>
      <w:r>
        <w:t xml:space="preserve">All electricity supply will come from low or zero-carbon technologies to meet the net-zero emissions. However, more than 75% will come from variable renewable sources, increasing demand for system flexibility for balancing and dealing with variability, </w:t>
      </w:r>
      <w:proofErr w:type="gramStart"/>
      <w:r>
        <w:t>uncertainty</w:t>
      </w:r>
      <w:proofErr w:type="gramEnd"/>
      <w:r>
        <w:t xml:space="preserve"> and intermittency in generation output. </w:t>
      </w:r>
      <w:r>
        <w:fldChar w:fldCharType="begin"/>
      </w:r>
      <w:r>
        <w:instrText xml:space="preserve"> REF _Ref135392237 \h </w:instrText>
      </w:r>
      <w:r>
        <w:fldChar w:fldCharType="separate"/>
      </w:r>
      <w:r w:rsidRPr="0056306A">
        <w:t xml:space="preserve">Figure </w:t>
      </w:r>
      <w:r>
        <w:rPr>
          <w:noProof/>
        </w:rPr>
        <w:t>2</w:t>
      </w:r>
      <w:r w:rsidRPr="0056306A">
        <w:noBreakHyphen/>
      </w:r>
      <w:r>
        <w:rPr>
          <w:noProof/>
        </w:rPr>
        <w:t>7</w:t>
      </w:r>
      <w:r>
        <w:fldChar w:fldCharType="end"/>
      </w:r>
      <w:r>
        <w:t xml:space="preserve"> shows the optimal electricity production mixes from different technologies in different cases.</w:t>
      </w:r>
    </w:p>
    <w:p w14:paraId="03ED4109" w14:textId="1EB3123D" w:rsidR="00695101" w:rsidRDefault="00695101" w:rsidP="001D2ACE">
      <w:pPr>
        <w:jc w:val="center"/>
      </w:pPr>
      <w:r w:rsidRPr="00695101">
        <w:rPr>
          <w:noProof/>
        </w:rPr>
        <w:drawing>
          <wp:inline distT="0" distB="0" distL="0" distR="0" wp14:anchorId="56CF81B4" wp14:editId="39CA475C">
            <wp:extent cx="5760085" cy="3596640"/>
            <wp:effectExtent l="0" t="0" r="0" b="3810"/>
            <wp:docPr id="1810689300" name="Picture 1810689300">
              <a:extLst xmlns:a="http://schemas.openxmlformats.org/drawingml/2006/main">
                <a:ext uri="{FF2B5EF4-FFF2-40B4-BE49-F238E27FC236}">
                  <a16:creationId xmlns:a16="http://schemas.microsoft.com/office/drawing/2014/main" id="{99B80664-87F9-C0F3-8B0B-419DB16BA6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99B80664-87F9-C0F3-8B0B-419DB16BA6AE}"/>
                        </a:ext>
                      </a:extLst>
                    </pic:cNvPr>
                    <pic:cNvPicPr>
                      <a:picLocks noChangeAspect="1"/>
                    </pic:cNvPicPr>
                  </pic:nvPicPr>
                  <pic:blipFill>
                    <a:blip r:embed="rId25"/>
                    <a:stretch>
                      <a:fillRect/>
                    </a:stretch>
                  </pic:blipFill>
                  <pic:spPr>
                    <a:xfrm>
                      <a:off x="0" y="0"/>
                      <a:ext cx="5760085" cy="3596640"/>
                    </a:xfrm>
                    <a:prstGeom prst="rect">
                      <a:avLst/>
                    </a:prstGeom>
                  </pic:spPr>
                </pic:pic>
              </a:graphicData>
            </a:graphic>
          </wp:inline>
        </w:drawing>
      </w:r>
    </w:p>
    <w:p w14:paraId="3978D382" w14:textId="7FFD887F" w:rsidR="002F7C50" w:rsidRPr="0056306A" w:rsidRDefault="002F7C50" w:rsidP="002F7C50">
      <w:pPr>
        <w:pStyle w:val="Caption"/>
      </w:pPr>
      <w:bookmarkStart w:id="31" w:name="_Ref135392237"/>
      <w:r w:rsidRPr="0056306A">
        <w:t xml:space="preserve">Figure </w:t>
      </w:r>
      <w:r>
        <w:fldChar w:fldCharType="begin"/>
      </w:r>
      <w:r>
        <w:instrText>STYLEREF 1 \s</w:instrText>
      </w:r>
      <w:r>
        <w:fldChar w:fldCharType="separate"/>
      </w:r>
      <w:r w:rsidR="008F6031">
        <w:rPr>
          <w:noProof/>
        </w:rPr>
        <w:t>2</w:t>
      </w:r>
      <w:r>
        <w:fldChar w:fldCharType="end"/>
      </w:r>
      <w:r w:rsidRPr="0056306A">
        <w:noBreakHyphen/>
      </w:r>
      <w:r>
        <w:fldChar w:fldCharType="begin"/>
      </w:r>
      <w:r>
        <w:instrText>SEQ Figure \* ARABIC \s 1</w:instrText>
      </w:r>
      <w:r>
        <w:fldChar w:fldCharType="separate"/>
      </w:r>
      <w:r w:rsidR="008F6031">
        <w:rPr>
          <w:noProof/>
        </w:rPr>
        <w:t>7</w:t>
      </w:r>
      <w:r>
        <w:fldChar w:fldCharType="end"/>
      </w:r>
      <w:bookmarkEnd w:id="31"/>
      <w:r w:rsidRPr="0056306A">
        <w:t xml:space="preserve"> </w:t>
      </w:r>
      <w:r w:rsidR="0081209F" w:rsidRPr="0081209F">
        <w:t xml:space="preserve">Impact of different coordination schemes on optimal </w:t>
      </w:r>
      <w:r w:rsidR="0081209F">
        <w:t xml:space="preserve">electricity </w:t>
      </w:r>
      <w:proofErr w:type="gramStart"/>
      <w:r w:rsidR="0081209F">
        <w:t>production</w:t>
      </w:r>
      <w:proofErr w:type="gramEnd"/>
    </w:p>
    <w:p w14:paraId="150EB5AD" w14:textId="4ACEAAC1" w:rsidR="008F6031" w:rsidRDefault="008F6031" w:rsidP="008F6031">
      <w:r>
        <w:t>Consistent with the previous findings, distributed flexibility resources substitute flexibility provided by hydrogen CCGT, reducing the electricity production from that generation. Coordinating the dispatches of those technologies through market mechanisms may become a challenge that should be addressed in the subsequent Work</w:t>
      </w:r>
      <w:r w:rsidR="00B50C16">
        <w:t>s</w:t>
      </w:r>
      <w:r>
        <w:t xml:space="preserve">tream. </w:t>
      </w:r>
    </w:p>
    <w:p w14:paraId="652A58BD" w14:textId="2B40F099" w:rsidR="0081209F" w:rsidRDefault="0081209F" w:rsidP="0081209F">
      <w:pPr>
        <w:pStyle w:val="Heading2"/>
      </w:pPr>
      <w:bookmarkStart w:id="32" w:name="_Toc135829962"/>
      <w:bookmarkStart w:id="33" w:name="_Hlk134606845"/>
      <w:r>
        <w:t>Impact of different coordination schemes on optimal distributed flexibility resources</w:t>
      </w:r>
      <w:bookmarkEnd w:id="32"/>
    </w:p>
    <w:bookmarkEnd w:id="33"/>
    <w:p w14:paraId="0BED1FDB" w14:textId="77777777" w:rsidR="004A27EB" w:rsidRDefault="00AD115D" w:rsidP="0081209F">
      <w:r>
        <w:t xml:space="preserve">Different coordination schemes will also lead to different portfolios of distributed flexibility sources. </w:t>
      </w:r>
      <w:r>
        <w:fldChar w:fldCharType="begin"/>
      </w:r>
      <w:r>
        <w:instrText xml:space="preserve"> REF _Ref135394878 \h </w:instrText>
      </w:r>
      <w:r>
        <w:fldChar w:fldCharType="separate"/>
      </w:r>
      <w:r w:rsidRPr="0056306A">
        <w:t xml:space="preserve">Figure </w:t>
      </w:r>
      <w:r>
        <w:rPr>
          <w:noProof/>
        </w:rPr>
        <w:t>2</w:t>
      </w:r>
      <w:r w:rsidRPr="0056306A">
        <w:noBreakHyphen/>
      </w:r>
      <w:r>
        <w:rPr>
          <w:noProof/>
        </w:rPr>
        <w:t>8</w:t>
      </w:r>
      <w:r>
        <w:fldChar w:fldCharType="end"/>
      </w:r>
      <w:r>
        <w:t xml:space="preserve"> shows different cases' optimal portfolios of distributed flexibility resources. From electricity demand response technologies, the largest source comes from smart electric vehicle charging; some </w:t>
      </w:r>
      <w:r>
        <w:lastRenderedPageBreak/>
        <w:t xml:space="preserve">of them could be vehicle-to-grid technology. It allows the electric vehicle's battery to inject the power back into the grid to provide balancing or ancillary services. </w:t>
      </w:r>
    </w:p>
    <w:p w14:paraId="6145F21B" w14:textId="5365E8D3" w:rsidR="004A27EB" w:rsidRDefault="00AD115D" w:rsidP="0081209F">
      <w:r>
        <w:t xml:space="preserve">Other demand response technologies include smart appliances and flexibility services from industrial and commercial customers. Another technology is distributed electricity storage and thermal storage. As thermal storage costs are quite low compared to other technologies, increasing thermal storage will be beneficial as it allows shifting the electric heating loads to consume during low-cost electricity periods. </w:t>
      </w:r>
    </w:p>
    <w:p w14:paraId="62571F79" w14:textId="12959A8C" w:rsidR="004A27EB" w:rsidRDefault="004A27EB" w:rsidP="0081209F">
      <w:r>
        <w:t>In the H2 scenario, most distributed flexibility resources are demand response technologies compared to electricity storage. However, this ratio changes in the deep electrification scenario where the ratio of electricity storage and demand response technologies can be around 1:1 (e.g. in Scheme 1, ELEC). Up to 53 GW of electricity storage will be needed in S1, around 75% higher than in BaU and S2, due to the need to minimise distribution network reinforcement.</w:t>
      </w:r>
    </w:p>
    <w:p w14:paraId="487768C0" w14:textId="6746BC0A" w:rsidR="00695101" w:rsidRDefault="00695101" w:rsidP="0081209F">
      <w:r w:rsidRPr="00695101">
        <w:rPr>
          <w:noProof/>
        </w:rPr>
        <w:drawing>
          <wp:inline distT="0" distB="0" distL="0" distR="0" wp14:anchorId="1FA8CAB7" wp14:editId="62050C7E">
            <wp:extent cx="5760085" cy="3245485"/>
            <wp:effectExtent l="0" t="0" r="0" b="0"/>
            <wp:docPr id="2" name="Picture 2">
              <a:extLst xmlns:a="http://schemas.openxmlformats.org/drawingml/2006/main">
                <a:ext uri="{FF2B5EF4-FFF2-40B4-BE49-F238E27FC236}">
                  <a16:creationId xmlns:a16="http://schemas.microsoft.com/office/drawing/2014/main" id="{58C106AF-383E-956B-4252-D707E11A60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58C106AF-383E-956B-4252-D707E11A6016}"/>
                        </a:ext>
                      </a:extLst>
                    </pic:cNvPr>
                    <pic:cNvPicPr>
                      <a:picLocks noChangeAspect="1"/>
                    </pic:cNvPicPr>
                  </pic:nvPicPr>
                  <pic:blipFill>
                    <a:blip r:embed="rId26"/>
                    <a:stretch>
                      <a:fillRect/>
                    </a:stretch>
                  </pic:blipFill>
                  <pic:spPr>
                    <a:xfrm>
                      <a:off x="0" y="0"/>
                      <a:ext cx="5760085" cy="3245485"/>
                    </a:xfrm>
                    <a:prstGeom prst="rect">
                      <a:avLst/>
                    </a:prstGeom>
                  </pic:spPr>
                </pic:pic>
              </a:graphicData>
            </a:graphic>
          </wp:inline>
        </w:drawing>
      </w:r>
    </w:p>
    <w:p w14:paraId="32EF1BB9" w14:textId="44E17DBE" w:rsidR="002F7C50" w:rsidRDefault="002F7C50" w:rsidP="002F7C50">
      <w:pPr>
        <w:pStyle w:val="Caption"/>
      </w:pPr>
      <w:bookmarkStart w:id="34" w:name="_Ref135394878"/>
      <w:r w:rsidRPr="0056306A">
        <w:t xml:space="preserve">Figure </w:t>
      </w:r>
      <w:r>
        <w:fldChar w:fldCharType="begin"/>
      </w:r>
      <w:r>
        <w:instrText>STYLEREF 1 \s</w:instrText>
      </w:r>
      <w:r>
        <w:fldChar w:fldCharType="separate"/>
      </w:r>
      <w:r w:rsidR="0081209F">
        <w:rPr>
          <w:noProof/>
        </w:rPr>
        <w:t>2</w:t>
      </w:r>
      <w:r>
        <w:fldChar w:fldCharType="end"/>
      </w:r>
      <w:r w:rsidRPr="0056306A">
        <w:noBreakHyphen/>
      </w:r>
      <w:r>
        <w:fldChar w:fldCharType="begin"/>
      </w:r>
      <w:r>
        <w:instrText>SEQ Figure \* ARABIC \s 1</w:instrText>
      </w:r>
      <w:r>
        <w:fldChar w:fldCharType="separate"/>
      </w:r>
      <w:r w:rsidR="0081209F">
        <w:rPr>
          <w:noProof/>
        </w:rPr>
        <w:t>8</w:t>
      </w:r>
      <w:r>
        <w:fldChar w:fldCharType="end"/>
      </w:r>
      <w:bookmarkEnd w:id="34"/>
      <w:r w:rsidRPr="0056306A">
        <w:t xml:space="preserve"> </w:t>
      </w:r>
      <w:r w:rsidR="0081209F" w:rsidRPr="0081209F">
        <w:t xml:space="preserve">Impact of different coordination schemes on optimal distributed flexibility </w:t>
      </w:r>
      <w:proofErr w:type="gramStart"/>
      <w:r w:rsidR="0081209F" w:rsidRPr="0081209F">
        <w:t>resources</w:t>
      </w:r>
      <w:proofErr w:type="gramEnd"/>
    </w:p>
    <w:p w14:paraId="6EA8DAAD" w14:textId="5060E34B" w:rsidR="00AD115D" w:rsidRDefault="004A27EB" w:rsidP="00AD115D">
      <w:r>
        <w:t xml:space="preserve">The studies demonstrate </w:t>
      </w:r>
      <w:r w:rsidRPr="004A27EB">
        <w:rPr>
          <w:i/>
          <w:iCs/>
        </w:rPr>
        <w:t>a substantial volume (50 – 100 GW) of demand response and electricity storage in addition to tens of GW of smart heat-led electricity load that must be managed and utilised efficiently to maximise their benefits to local and national energy systems</w:t>
      </w:r>
      <w:r>
        <w:t xml:space="preserve">. This aspect highlights the need for strong ESO-DSO coordination and appropriate market frameworks to facilitate the cost-effective management of those resources. The total capacity of demand response and electricity storage volume is double in the deep electrification scenario than in H2, driven by a higher system benefit of distributed flexibility resources in ELEC than in H2. </w:t>
      </w:r>
    </w:p>
    <w:p w14:paraId="469BA87F" w14:textId="77777777" w:rsidR="004A27EB" w:rsidRPr="00AD115D" w:rsidRDefault="004A27EB" w:rsidP="00AD115D"/>
    <w:p w14:paraId="20682FB2" w14:textId="73CD94B6" w:rsidR="00695101" w:rsidRDefault="0081209F" w:rsidP="005A1031">
      <w:pPr>
        <w:pStyle w:val="Heading3"/>
      </w:pPr>
      <w:bookmarkStart w:id="35" w:name="_Toc135829963"/>
      <w:r>
        <w:lastRenderedPageBreak/>
        <w:t>Regional distribution of energy storage</w:t>
      </w:r>
      <w:r w:rsidR="006A6CA1">
        <w:t xml:space="preserve"> and demand response capability</w:t>
      </w:r>
      <w:bookmarkEnd w:id="35"/>
    </w:p>
    <w:p w14:paraId="08536307" w14:textId="4D243A25" w:rsidR="00D13AA2" w:rsidRPr="00D13AA2" w:rsidRDefault="007808DD" w:rsidP="00D13AA2">
      <w:r>
        <w:t xml:space="preserve">In general, the </w:t>
      </w:r>
      <w:r w:rsidR="006A6CA1">
        <w:t>electricity storage</w:t>
      </w:r>
      <w:r>
        <w:t xml:space="preserve"> would be optimally </w:t>
      </w:r>
      <w:r w:rsidR="006A6CA1">
        <w:t>deployed</w:t>
      </w:r>
      <w:r>
        <w:t xml:space="preserve"> across the system though the magnitude should be optimised from the system needs considering the geographical spread of different power generation technologies, regional loads, and transmission network capacity. </w:t>
      </w:r>
      <w:r w:rsidR="006A6CA1">
        <w:t xml:space="preserve">In the hydrogen scenario, most electricity storage should be allocated to the Northern GB. In the deep electrification scenario, electricity storage distribution is more balanced across the North (North of England and Scotland) against the rest (Midlands, South and Wales) except in Scheme 1, where significant electricity storage (32 GW out of 53 GW) is allocated in the North. The locations of storage are driven by the locations of </w:t>
      </w:r>
      <w:proofErr w:type="gramStart"/>
      <w:r w:rsidR="006A6CA1">
        <w:t>high capacity</w:t>
      </w:r>
      <w:proofErr w:type="gramEnd"/>
      <w:r w:rsidR="006A6CA1">
        <w:t xml:space="preserve"> factors offshore wind farms in the North.</w:t>
      </w:r>
    </w:p>
    <w:p w14:paraId="1C763A40" w14:textId="75AF085C" w:rsidR="00695101" w:rsidRDefault="00695101" w:rsidP="001D2ACE">
      <w:pPr>
        <w:jc w:val="center"/>
      </w:pPr>
      <w:r w:rsidRPr="00695101">
        <w:rPr>
          <w:noProof/>
        </w:rPr>
        <w:drawing>
          <wp:inline distT="0" distB="0" distL="0" distR="0" wp14:anchorId="56E0B6F1" wp14:editId="55BED049">
            <wp:extent cx="5760085" cy="3684905"/>
            <wp:effectExtent l="0" t="0" r="0" b="0"/>
            <wp:docPr id="361989376" name="Picture 361989376">
              <a:extLst xmlns:a="http://schemas.openxmlformats.org/drawingml/2006/main">
                <a:ext uri="{FF2B5EF4-FFF2-40B4-BE49-F238E27FC236}">
                  <a16:creationId xmlns:a16="http://schemas.microsoft.com/office/drawing/2014/main" id="{5514E66B-0322-FD08-4FDA-61F86DA70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5514E66B-0322-FD08-4FDA-61F86DA70D17}"/>
                        </a:ext>
                      </a:extLst>
                    </pic:cNvPr>
                    <pic:cNvPicPr>
                      <a:picLocks noChangeAspect="1"/>
                    </pic:cNvPicPr>
                  </pic:nvPicPr>
                  <pic:blipFill>
                    <a:blip r:embed="rId27"/>
                    <a:stretch>
                      <a:fillRect/>
                    </a:stretch>
                  </pic:blipFill>
                  <pic:spPr>
                    <a:xfrm>
                      <a:off x="0" y="0"/>
                      <a:ext cx="5760085" cy="3684905"/>
                    </a:xfrm>
                    <a:prstGeom prst="rect">
                      <a:avLst/>
                    </a:prstGeom>
                  </pic:spPr>
                </pic:pic>
              </a:graphicData>
            </a:graphic>
          </wp:inline>
        </w:drawing>
      </w:r>
    </w:p>
    <w:p w14:paraId="3239712D" w14:textId="083990A7" w:rsidR="002F7C50" w:rsidRPr="0056306A" w:rsidRDefault="002F7C50" w:rsidP="002F7C50">
      <w:pPr>
        <w:pStyle w:val="Caption"/>
      </w:pPr>
      <w:r w:rsidRPr="0056306A">
        <w:t xml:space="preserve">Figure </w:t>
      </w:r>
      <w:r>
        <w:fldChar w:fldCharType="begin"/>
      </w:r>
      <w:r>
        <w:instrText>STYLEREF 1 \s</w:instrText>
      </w:r>
      <w:r>
        <w:fldChar w:fldCharType="separate"/>
      </w:r>
      <w:r w:rsidR="00C33642">
        <w:rPr>
          <w:noProof/>
        </w:rPr>
        <w:t>2</w:t>
      </w:r>
      <w:r>
        <w:fldChar w:fldCharType="end"/>
      </w:r>
      <w:r w:rsidRPr="0056306A">
        <w:noBreakHyphen/>
      </w:r>
      <w:r>
        <w:fldChar w:fldCharType="begin"/>
      </w:r>
      <w:r>
        <w:instrText>SEQ Figure \* ARABIC \s 1</w:instrText>
      </w:r>
      <w:r>
        <w:fldChar w:fldCharType="separate"/>
      </w:r>
      <w:r w:rsidR="00C33642">
        <w:rPr>
          <w:noProof/>
        </w:rPr>
        <w:t>9</w:t>
      </w:r>
      <w:r>
        <w:fldChar w:fldCharType="end"/>
      </w:r>
      <w:r w:rsidRPr="0056306A">
        <w:t xml:space="preserve"> </w:t>
      </w:r>
      <w:r w:rsidR="00FF5375">
        <w:t>R</w:t>
      </w:r>
      <w:r w:rsidR="007808DD">
        <w:t xml:space="preserve">egional distribution of electricity storage </w:t>
      </w:r>
      <w:proofErr w:type="gramStart"/>
      <w:r w:rsidR="007808DD">
        <w:t>capacity</w:t>
      </w:r>
      <w:proofErr w:type="gramEnd"/>
    </w:p>
    <w:p w14:paraId="24B4414A" w14:textId="16D1095B" w:rsidR="002F7C50" w:rsidRDefault="00830907" w:rsidP="006A6CA1">
      <w:r>
        <w:t>Demand response capacity should also be deployed, like electricity storage, across the system</w:t>
      </w:r>
      <w:r w:rsidR="006A6CA1">
        <w:t xml:space="preserve">. </w:t>
      </w:r>
      <w:r w:rsidR="003234C4">
        <w:fldChar w:fldCharType="begin"/>
      </w:r>
      <w:r w:rsidR="003234C4">
        <w:instrText xml:space="preserve"> REF _Ref135495710 \h </w:instrText>
      </w:r>
      <w:r w:rsidR="003234C4">
        <w:fldChar w:fldCharType="separate"/>
      </w:r>
      <w:r w:rsidR="003234C4" w:rsidRPr="0056306A">
        <w:t xml:space="preserve">Figure </w:t>
      </w:r>
      <w:r w:rsidR="003234C4">
        <w:rPr>
          <w:noProof/>
        </w:rPr>
        <w:t>2</w:t>
      </w:r>
      <w:r w:rsidR="003234C4" w:rsidRPr="0056306A">
        <w:noBreakHyphen/>
      </w:r>
      <w:r w:rsidR="003234C4">
        <w:rPr>
          <w:noProof/>
        </w:rPr>
        <w:t>10</w:t>
      </w:r>
      <w:r w:rsidR="003234C4">
        <w:fldChar w:fldCharType="end"/>
      </w:r>
      <w:r w:rsidR="003234C4">
        <w:t xml:space="preserve"> </w:t>
      </w:r>
      <w:r w:rsidR="00AC543C">
        <w:t xml:space="preserve">shows the modelling results of the regional deployment of demand response flexibility services. </w:t>
      </w:r>
      <w:r w:rsidR="006A6CA1">
        <w:t xml:space="preserve">Considering </w:t>
      </w:r>
      <w:r>
        <w:t xml:space="preserve">that </w:t>
      </w:r>
      <w:r w:rsidR="006A6CA1">
        <w:t>the available demand response is a function of the energy demand</w:t>
      </w:r>
      <w:r>
        <w:t xml:space="preserve">, </w:t>
      </w:r>
      <w:r w:rsidR="006A6CA1">
        <w:t xml:space="preserve">the </w:t>
      </w:r>
      <w:r>
        <w:t xml:space="preserve">demand response capacity </w:t>
      </w:r>
      <w:r w:rsidR="006A6CA1">
        <w:t xml:space="preserve">is distributed </w:t>
      </w:r>
      <w:r>
        <w:t xml:space="preserve">more </w:t>
      </w:r>
      <w:r w:rsidR="006A6CA1">
        <w:t xml:space="preserve">proportionally to </w:t>
      </w:r>
      <w:r>
        <w:t>the demand size</w:t>
      </w:r>
      <w:r w:rsidR="006A6CA1">
        <w:t xml:space="preserve"> in this area.</w:t>
      </w:r>
      <w:r>
        <w:t xml:space="preserve"> </w:t>
      </w:r>
      <w:r w:rsidR="003234C4">
        <w:t>It is worth noting that ESO and DSO must manage a substantial volume of demand response, i.e. around 40 GW in H2 and between 46 – 66 GW in ELEC. BaU requires more demand response capability, followed by Schemes 2 and 1. While how this could be achieved in practice is out of the scope of this work, it gives an insight into the scale of the demand flexibility that must be dealt with in future.</w:t>
      </w:r>
    </w:p>
    <w:p w14:paraId="48C04064" w14:textId="77777777" w:rsidR="0092754B" w:rsidRDefault="0092754B" w:rsidP="001D2ACE">
      <w:pPr>
        <w:jc w:val="center"/>
      </w:pPr>
    </w:p>
    <w:p w14:paraId="44A91FA8" w14:textId="77936E84" w:rsidR="0092754B" w:rsidRDefault="0092754B" w:rsidP="001D2ACE">
      <w:pPr>
        <w:jc w:val="center"/>
      </w:pPr>
      <w:r w:rsidRPr="0092754B">
        <w:rPr>
          <w:noProof/>
        </w:rPr>
        <w:lastRenderedPageBreak/>
        <w:drawing>
          <wp:inline distT="0" distB="0" distL="0" distR="0" wp14:anchorId="6E03BA42" wp14:editId="7BA0D3FA">
            <wp:extent cx="5760085" cy="3843655"/>
            <wp:effectExtent l="0" t="0" r="0" b="4445"/>
            <wp:docPr id="657118865" name="Picture 657118865">
              <a:extLst xmlns:a="http://schemas.openxmlformats.org/drawingml/2006/main">
                <a:ext uri="{FF2B5EF4-FFF2-40B4-BE49-F238E27FC236}">
                  <a16:creationId xmlns:a16="http://schemas.microsoft.com/office/drawing/2014/main" id="{BDE1E4A2-EF0D-0777-14A3-68B746E78F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BDE1E4A2-EF0D-0777-14A3-68B746E78FC5}"/>
                        </a:ext>
                      </a:extLst>
                    </pic:cNvPr>
                    <pic:cNvPicPr>
                      <a:picLocks noChangeAspect="1"/>
                    </pic:cNvPicPr>
                  </pic:nvPicPr>
                  <pic:blipFill>
                    <a:blip r:embed="rId28"/>
                    <a:stretch>
                      <a:fillRect/>
                    </a:stretch>
                  </pic:blipFill>
                  <pic:spPr>
                    <a:xfrm>
                      <a:off x="0" y="0"/>
                      <a:ext cx="5760085" cy="3843655"/>
                    </a:xfrm>
                    <a:prstGeom prst="rect">
                      <a:avLst/>
                    </a:prstGeom>
                  </pic:spPr>
                </pic:pic>
              </a:graphicData>
            </a:graphic>
          </wp:inline>
        </w:drawing>
      </w:r>
    </w:p>
    <w:p w14:paraId="7DE1CFC8" w14:textId="12703FC8" w:rsidR="002F7C50" w:rsidRDefault="002F7C50" w:rsidP="00AF5246">
      <w:pPr>
        <w:pStyle w:val="Caption"/>
      </w:pPr>
      <w:bookmarkStart w:id="36" w:name="_Ref135495710"/>
      <w:r w:rsidRPr="0056306A">
        <w:t xml:space="preserve">Figure </w:t>
      </w:r>
      <w:r w:rsidR="00A12641">
        <w:fldChar w:fldCharType="begin"/>
      </w:r>
      <w:r w:rsidR="00A12641">
        <w:rPr>
          <w:b w:val="0"/>
        </w:rPr>
        <w:instrText xml:space="preserve"> STYLEREF 1 \s </w:instrText>
      </w:r>
      <w:r w:rsidR="00A12641">
        <w:fldChar w:fldCharType="separate"/>
      </w:r>
      <w:r w:rsidR="003201F3">
        <w:rPr>
          <w:noProof/>
        </w:rPr>
        <w:t>2</w:t>
      </w:r>
      <w:r w:rsidR="00A12641">
        <w:fldChar w:fldCharType="end"/>
      </w:r>
      <w:r w:rsidRPr="0056306A">
        <w:noBreakHyphen/>
      </w:r>
      <w:r w:rsidR="00A12641">
        <w:fldChar w:fldCharType="begin"/>
      </w:r>
      <w:r w:rsidR="00A12641">
        <w:rPr>
          <w:b w:val="0"/>
        </w:rPr>
        <w:instrText xml:space="preserve"> SEQ Figure \* ARABIC \s 1 </w:instrText>
      </w:r>
      <w:r w:rsidR="00A12641">
        <w:fldChar w:fldCharType="separate"/>
      </w:r>
      <w:r w:rsidR="003201F3">
        <w:rPr>
          <w:noProof/>
        </w:rPr>
        <w:t>10</w:t>
      </w:r>
      <w:r w:rsidR="00A12641">
        <w:fldChar w:fldCharType="end"/>
      </w:r>
      <w:bookmarkEnd w:id="36"/>
      <w:r w:rsidRPr="0056306A">
        <w:t xml:space="preserve"> </w:t>
      </w:r>
      <w:r w:rsidR="00C33642">
        <w:t xml:space="preserve">Regional distribution of demand response </w:t>
      </w:r>
      <w:proofErr w:type="gramStart"/>
      <w:r w:rsidR="00C33642">
        <w:t>capability</w:t>
      </w:r>
      <w:proofErr w:type="gramEnd"/>
    </w:p>
    <w:p w14:paraId="36645B70" w14:textId="5325D49B" w:rsidR="0092754B" w:rsidRDefault="00EB707A" w:rsidP="00EB707A">
      <w:pPr>
        <w:pStyle w:val="Heading2"/>
      </w:pPr>
      <w:bookmarkStart w:id="37" w:name="_Toc135829964"/>
      <w:r>
        <w:t>Incremental costs of suboptimalit</w:t>
      </w:r>
      <w:r w:rsidR="003234C4">
        <w:t>y</w:t>
      </w:r>
      <w:r>
        <w:t xml:space="preserve"> that may occur in Scheme 1</w:t>
      </w:r>
      <w:bookmarkEnd w:id="37"/>
      <w:r>
        <w:t xml:space="preserve"> </w:t>
      </w:r>
    </w:p>
    <w:p w14:paraId="1EF4B0F1" w14:textId="77777777" w:rsidR="005051D8" w:rsidRDefault="005051D8" w:rsidP="003234C4">
      <w:r>
        <w:t>The coordination between ESO and DSO in Scheme 1 is prone to be suboptimal in practice due to:</w:t>
      </w:r>
    </w:p>
    <w:p w14:paraId="054DB9AF" w14:textId="1A61A56D" w:rsidR="005051D8" w:rsidRDefault="00CA5944" w:rsidP="005051D8">
      <w:pPr>
        <w:pStyle w:val="BulletPoint1"/>
      </w:pPr>
      <w:r>
        <w:t>The l</w:t>
      </w:r>
      <w:r w:rsidR="005051D8">
        <w:t>ack of ability of ESO to incorporate small-scale distributed flexibility providers</w:t>
      </w:r>
      <w:r>
        <w:t>,</w:t>
      </w:r>
      <w:r w:rsidR="005051D8">
        <w:t xml:space="preserve"> which leads the ESO to prioritise larger-scale sources, e.g. connected at high voltage rather than small-scale low-vo</w:t>
      </w:r>
      <w:r>
        <w:t>l</w:t>
      </w:r>
      <w:r w:rsidR="005051D8">
        <w:t xml:space="preserve">tage connected </w:t>
      </w:r>
      <w:proofErr w:type="gramStart"/>
      <w:r w:rsidR="005051D8">
        <w:t>resources;</w:t>
      </w:r>
      <w:proofErr w:type="gramEnd"/>
    </w:p>
    <w:p w14:paraId="5F41B03A" w14:textId="6FCED103" w:rsidR="005051D8" w:rsidRDefault="00CA5944" w:rsidP="005051D8">
      <w:pPr>
        <w:pStyle w:val="BulletPoint1"/>
      </w:pPr>
      <w:r>
        <w:t>E</w:t>
      </w:r>
      <w:r w:rsidR="005051D8">
        <w:t xml:space="preserve">xposure of stricter primacy rules to </w:t>
      </w:r>
      <w:r w:rsidR="007327F9">
        <w:t>DSOs to</w:t>
      </w:r>
      <w:r w:rsidR="005051D8">
        <w:t xml:space="preserve"> provide sufficient headroom to deal with uncertainty in the provision of services and distribution network capacity to accommodate </w:t>
      </w:r>
      <w:proofErr w:type="gramStart"/>
      <w:r w:rsidR="005051D8">
        <w:t>that;</w:t>
      </w:r>
      <w:proofErr w:type="gramEnd"/>
    </w:p>
    <w:p w14:paraId="618FB86B" w14:textId="44B786C9" w:rsidR="00C26A87" w:rsidRDefault="00CA5944" w:rsidP="005051D8">
      <w:pPr>
        <w:pStyle w:val="BulletPoint1"/>
      </w:pPr>
      <w:r>
        <w:t>H</w:t>
      </w:r>
      <w:r w:rsidR="00C26A87">
        <w:t>igher cost of distributed flexibility services</w:t>
      </w:r>
      <w:r w:rsidR="00C5311E">
        <w:t xml:space="preserve"> – we assume the cost could increase up to </w:t>
      </w:r>
      <w:proofErr w:type="gramStart"/>
      <w:r w:rsidR="00C5311E">
        <w:t>20%</w:t>
      </w:r>
      <w:r w:rsidR="00C26A87">
        <w:t>;</w:t>
      </w:r>
      <w:proofErr w:type="gramEnd"/>
      <w:r w:rsidR="00C26A87">
        <w:t xml:space="preserve"> </w:t>
      </w:r>
    </w:p>
    <w:p w14:paraId="38A19AA2" w14:textId="16508F5E" w:rsidR="0092754B" w:rsidRDefault="00CA5944" w:rsidP="005051D8">
      <w:pPr>
        <w:pStyle w:val="BulletPoint1"/>
      </w:pPr>
      <w:r>
        <w:t xml:space="preserve">A </w:t>
      </w:r>
      <w:r w:rsidR="00C26A87">
        <w:t>lower number of service providers</w:t>
      </w:r>
      <w:r w:rsidR="00C5311E">
        <w:t xml:space="preserve"> – we assume only 75% of potential distributed flexibility sources could be accessed</w:t>
      </w:r>
      <w:r w:rsidR="00C26A87">
        <w:t>.</w:t>
      </w:r>
      <w:r w:rsidR="005051D8">
        <w:t xml:space="preserve"> </w:t>
      </w:r>
    </w:p>
    <w:p w14:paraId="2666EFDE" w14:textId="7F664241" w:rsidR="00C26A87" w:rsidRDefault="00CA5944" w:rsidP="00C26A87">
      <w:pPr>
        <w:pStyle w:val="BulletPoint1"/>
        <w:numPr>
          <w:ilvl w:val="0"/>
          <w:numId w:val="0"/>
        </w:numPr>
      </w:pPr>
      <w:r>
        <w:t>T</w:t>
      </w:r>
      <w:r w:rsidR="00C26A87">
        <w:t>he study aims to assess quantitatively the impact of the suboptimality</w:t>
      </w:r>
      <w:r>
        <w:t>, if it happens,</w:t>
      </w:r>
      <w:r w:rsidR="00C26A87">
        <w:t xml:space="preserve"> on the system costs.</w:t>
      </w:r>
      <w:r>
        <w:t xml:space="preserve"> The </w:t>
      </w:r>
      <w:r w:rsidR="00494EFE">
        <w:t>incremental costs associated with each suboptimality</w:t>
      </w:r>
      <w:r>
        <w:t xml:space="preserve"> are shown in </w:t>
      </w:r>
      <w:r>
        <w:fldChar w:fldCharType="begin"/>
      </w:r>
      <w:r>
        <w:instrText xml:space="preserve"> REF _Ref86591917 \h </w:instrText>
      </w:r>
      <w:r>
        <w:fldChar w:fldCharType="separate"/>
      </w:r>
      <w:r w:rsidRPr="0056306A">
        <w:t xml:space="preserve">Figure </w:t>
      </w:r>
      <w:r>
        <w:rPr>
          <w:noProof/>
        </w:rPr>
        <w:t>2</w:t>
      </w:r>
      <w:r w:rsidRPr="0056306A">
        <w:noBreakHyphen/>
      </w:r>
      <w:r>
        <w:rPr>
          <w:noProof/>
        </w:rPr>
        <w:t>12</w:t>
      </w:r>
      <w:r>
        <w:fldChar w:fldCharType="end"/>
      </w:r>
      <w:r>
        <w:t xml:space="preserve">. </w:t>
      </w:r>
      <w:r w:rsidR="00494EFE">
        <w:t>The last column shows the additional costs if all suboptimality conditions occur. The annual system costs of Scheme 1 are, therefore, in the range of 87.64 – 91.92 £bn/year. The study uses the deep electrification scenario as the difference between Scheme 1 and 2 is more visible than in the H2 scenario.</w:t>
      </w:r>
    </w:p>
    <w:p w14:paraId="3CF1476C" w14:textId="77777777" w:rsidR="00494EFE" w:rsidRDefault="00494EFE" w:rsidP="00C26A87">
      <w:pPr>
        <w:pStyle w:val="BulletPoint1"/>
        <w:numPr>
          <w:ilvl w:val="0"/>
          <w:numId w:val="0"/>
        </w:numPr>
      </w:pPr>
    </w:p>
    <w:p w14:paraId="6D2ADBF9" w14:textId="134D2DC1" w:rsidR="0092754B" w:rsidRDefault="00494EFE" w:rsidP="00494EFE">
      <w:pPr>
        <w:pStyle w:val="BulletPoint1"/>
        <w:numPr>
          <w:ilvl w:val="0"/>
          <w:numId w:val="0"/>
        </w:numPr>
      </w:pPr>
      <w:r>
        <w:t xml:space="preserve">The most important factor that increases the total annual system cost is the inability of ESO to incorporate services from small-scale providers through aggregators. It will cost £2.9bn/year to the system as substantial flexibility could be provided by </w:t>
      </w:r>
      <w:proofErr w:type="gramStart"/>
      <w:r>
        <w:t>low-voltage</w:t>
      </w:r>
      <w:proofErr w:type="gramEnd"/>
      <w:r>
        <w:t xml:space="preserve"> connected customers. The second </w:t>
      </w:r>
      <w:r>
        <w:lastRenderedPageBreak/>
        <w:t xml:space="preserve">factor is the exposure to stricter primacy rules through providing extra distribution capacity headroom and over-procurement of services to deal with uncertainty in the deliverability of the flexible services due to various reasons (e.g. network constraints, temporal unavailability of some service providers). The impact of the higher cost of distributed flexibility services and lower availability is not high as the cost of flexibility services is very small compared to the total system cost. Using all potential maximum flexibility resources is unnecessary, as the maximum volume of demand response and energy storage is sufficiently large. Having 75% of them is sufficient to meet the system's needs; therefore, the impact on cost is modest. Combining all suboptimality conditions will increase the total system cost by £4.28bn/year, </w:t>
      </w:r>
      <w:proofErr w:type="gramStart"/>
      <w:r>
        <w:t>similar to</w:t>
      </w:r>
      <w:proofErr w:type="gramEnd"/>
      <w:r>
        <w:t xml:space="preserve"> the sum of all incremental costs of each suboptimality condition being studied. </w:t>
      </w:r>
    </w:p>
    <w:p w14:paraId="78FFF281" w14:textId="166DF904" w:rsidR="00695101" w:rsidRDefault="0092754B" w:rsidP="00494EFE">
      <w:pPr>
        <w:jc w:val="center"/>
      </w:pPr>
      <w:r w:rsidRPr="0092754B">
        <w:rPr>
          <w:noProof/>
        </w:rPr>
        <w:drawing>
          <wp:inline distT="0" distB="0" distL="0" distR="0" wp14:anchorId="343B5105" wp14:editId="08AE78E4">
            <wp:extent cx="5760085" cy="3801745"/>
            <wp:effectExtent l="0" t="0" r="0" b="8255"/>
            <wp:docPr id="1159578089" name="Picture 1159578089">
              <a:extLst xmlns:a="http://schemas.openxmlformats.org/drawingml/2006/main">
                <a:ext uri="{FF2B5EF4-FFF2-40B4-BE49-F238E27FC236}">
                  <a16:creationId xmlns:a16="http://schemas.microsoft.com/office/drawing/2014/main" id="{73A02856-E9EB-2B0C-D7CE-2F71860367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73A02856-E9EB-2B0C-D7CE-2F718603674E}"/>
                        </a:ext>
                      </a:extLst>
                    </pic:cNvPr>
                    <pic:cNvPicPr>
                      <a:picLocks noChangeAspect="1"/>
                    </pic:cNvPicPr>
                  </pic:nvPicPr>
                  <pic:blipFill>
                    <a:blip r:embed="rId29"/>
                    <a:stretch>
                      <a:fillRect/>
                    </a:stretch>
                  </pic:blipFill>
                  <pic:spPr>
                    <a:xfrm>
                      <a:off x="0" y="0"/>
                      <a:ext cx="5760085" cy="3801745"/>
                    </a:xfrm>
                    <a:prstGeom prst="rect">
                      <a:avLst/>
                    </a:prstGeom>
                  </pic:spPr>
                </pic:pic>
              </a:graphicData>
            </a:graphic>
          </wp:inline>
        </w:drawing>
      </w:r>
    </w:p>
    <w:p w14:paraId="585F590A" w14:textId="4D08BE1D" w:rsidR="001D2ACE" w:rsidRPr="0056306A" w:rsidRDefault="001D2ACE" w:rsidP="001D2ACE">
      <w:pPr>
        <w:pStyle w:val="Caption"/>
      </w:pPr>
      <w:bookmarkStart w:id="38" w:name="_Ref86591917"/>
      <w:r w:rsidRPr="0056306A">
        <w:t xml:space="preserve">Figure </w:t>
      </w:r>
      <w:r>
        <w:fldChar w:fldCharType="begin"/>
      </w:r>
      <w:r>
        <w:instrText>STYLEREF 1 \s</w:instrText>
      </w:r>
      <w:r>
        <w:fldChar w:fldCharType="separate"/>
      </w:r>
      <w:r w:rsidR="00EB707A">
        <w:rPr>
          <w:noProof/>
        </w:rPr>
        <w:t>2</w:t>
      </w:r>
      <w:r>
        <w:fldChar w:fldCharType="end"/>
      </w:r>
      <w:r w:rsidRPr="0056306A">
        <w:noBreakHyphen/>
      </w:r>
      <w:r>
        <w:fldChar w:fldCharType="begin"/>
      </w:r>
      <w:r>
        <w:instrText>SEQ Figure \* ARABIC \s 1</w:instrText>
      </w:r>
      <w:r>
        <w:fldChar w:fldCharType="separate"/>
      </w:r>
      <w:r w:rsidR="00EB707A">
        <w:rPr>
          <w:noProof/>
        </w:rPr>
        <w:t>12</w:t>
      </w:r>
      <w:r>
        <w:fldChar w:fldCharType="end"/>
      </w:r>
      <w:bookmarkEnd w:id="38"/>
      <w:r w:rsidRPr="0056306A">
        <w:t xml:space="preserve"> </w:t>
      </w:r>
      <w:r w:rsidR="00EB707A">
        <w:t>Incremental cost</w:t>
      </w:r>
      <w:r w:rsidR="0019013F">
        <w:t>s</w:t>
      </w:r>
      <w:r w:rsidR="00EB707A">
        <w:t xml:space="preserve"> associated with the suboptimality possibl</w:t>
      </w:r>
      <w:r w:rsidR="0019013F">
        <w:t>y</w:t>
      </w:r>
      <w:r w:rsidR="00EB707A">
        <w:t xml:space="preserve"> occurred in scheme </w:t>
      </w:r>
      <w:proofErr w:type="gramStart"/>
      <w:r w:rsidR="00EB707A">
        <w:t>1</w:t>
      </w:r>
      <w:proofErr w:type="gramEnd"/>
      <w:r w:rsidR="00EB707A">
        <w:t xml:space="preserve"> </w:t>
      </w:r>
    </w:p>
    <w:p w14:paraId="7951C53A" w14:textId="75798481" w:rsidR="00EB707A" w:rsidRDefault="00E94B17">
      <w:pPr>
        <w:jc w:val="left"/>
      </w:pPr>
      <w:r>
        <w:t>Perhaps some words here around what the options/way forward may be to enable visibility of DER’s etc. it would be good to point to the fact that the worlds will help some of the challenges above.</w:t>
      </w:r>
      <w:r w:rsidR="00EB707A">
        <w:br w:type="page"/>
      </w:r>
    </w:p>
    <w:p w14:paraId="3B06028E" w14:textId="164B3DCC" w:rsidR="00B701A3" w:rsidRDefault="00EB707A" w:rsidP="00EB707A">
      <w:pPr>
        <w:pStyle w:val="Heading1"/>
      </w:pPr>
      <w:bookmarkStart w:id="39" w:name="_Toc135829965"/>
      <w:r>
        <w:lastRenderedPageBreak/>
        <w:t>Sensi</w:t>
      </w:r>
      <w:r w:rsidR="00494EFE">
        <w:t>tiv</w:t>
      </w:r>
      <w:r>
        <w:t>ity studies</w:t>
      </w:r>
      <w:bookmarkEnd w:id="39"/>
    </w:p>
    <w:p w14:paraId="70658318" w14:textId="77777777" w:rsidR="00494EFE" w:rsidRDefault="00494EFE" w:rsidP="00494EFE">
      <w:pPr>
        <w:pStyle w:val="BulletPoint1"/>
        <w:numPr>
          <w:ilvl w:val="0"/>
          <w:numId w:val="0"/>
        </w:numPr>
      </w:pPr>
    </w:p>
    <w:p w14:paraId="7D309DA0" w14:textId="5AD71F93" w:rsidR="00015404" w:rsidRDefault="00494EFE" w:rsidP="00494EFE">
      <w:pPr>
        <w:pStyle w:val="BulletPoint1"/>
        <w:numPr>
          <w:ilvl w:val="0"/>
          <w:numId w:val="0"/>
        </w:numPr>
      </w:pPr>
      <w:r>
        <w:t>The results of techno-economic studies discussed in the previous section may be sensitive to different conditions</w:t>
      </w:r>
      <w:r w:rsidR="00015404">
        <w:t>. T</w:t>
      </w:r>
      <w:r>
        <w:t xml:space="preserve">herefore, it is important to investigate whether the findings found previously are changed or consistent if </w:t>
      </w:r>
      <w:r w:rsidR="00015404">
        <w:t>different</w:t>
      </w:r>
      <w:r>
        <w:t xml:space="preserve"> system conditions </w:t>
      </w:r>
      <w:r w:rsidR="00015404">
        <w:t xml:space="preserve">are </w:t>
      </w:r>
      <w:r>
        <w:t xml:space="preserve">used in the studies. Therefore, </w:t>
      </w:r>
      <w:r w:rsidR="00015404">
        <w:t>various sensitivity studies have</w:t>
      </w:r>
      <w:r>
        <w:t xml:space="preserve"> been c</w:t>
      </w:r>
      <w:r w:rsidR="00015404">
        <w:t>onducted</w:t>
      </w:r>
      <w:r>
        <w:t xml:space="preserve"> to understand the </w:t>
      </w:r>
      <w:r w:rsidR="00015404">
        <w:t>previous findings' robustness and</w:t>
      </w:r>
      <w:r>
        <w:t xml:space="preserve"> identify the main drivers for improving the ESO-DSO coordination approach. </w:t>
      </w:r>
    </w:p>
    <w:p w14:paraId="480BB000" w14:textId="77777777" w:rsidR="00015404" w:rsidRDefault="00015404" w:rsidP="00494EFE">
      <w:pPr>
        <w:pStyle w:val="BulletPoint1"/>
        <w:numPr>
          <w:ilvl w:val="0"/>
          <w:numId w:val="0"/>
        </w:numPr>
      </w:pPr>
    </w:p>
    <w:p w14:paraId="698D5551" w14:textId="377803EB" w:rsidR="00015404" w:rsidRDefault="00015404" w:rsidP="00015404">
      <w:pPr>
        <w:pStyle w:val="Heading2"/>
      </w:pPr>
      <w:bookmarkStart w:id="40" w:name="_Toc135829966"/>
      <w:r>
        <w:t>Sensitivity scenarios</w:t>
      </w:r>
      <w:bookmarkEnd w:id="40"/>
    </w:p>
    <w:p w14:paraId="397579F4" w14:textId="2FEA62F0" w:rsidR="00494EFE" w:rsidRDefault="00494EFE" w:rsidP="00494EFE">
      <w:pPr>
        <w:pStyle w:val="BulletPoint1"/>
        <w:numPr>
          <w:ilvl w:val="0"/>
          <w:numId w:val="0"/>
        </w:numPr>
      </w:pPr>
      <w:r>
        <w:t xml:space="preserve">In that context, </w:t>
      </w:r>
      <w:r w:rsidR="00015404">
        <w:t xml:space="preserve">we performed </w:t>
      </w:r>
      <w:r>
        <w:t xml:space="preserve">sensitivity studies </w:t>
      </w:r>
      <w:r w:rsidR="00015404">
        <w:t xml:space="preserve">to </w:t>
      </w:r>
      <w:r>
        <w:t xml:space="preserve">assess the impact of </w:t>
      </w:r>
      <w:r w:rsidR="00015404">
        <w:t>having the following parameters</w:t>
      </w:r>
      <w:r>
        <w:t xml:space="preserve">: </w:t>
      </w:r>
    </w:p>
    <w:p w14:paraId="0EAA9E5F" w14:textId="53AEE7E7" w:rsidR="00494EFE" w:rsidRDefault="00494EFE" w:rsidP="00494EFE">
      <w:pPr>
        <w:pStyle w:val="BulletPoint1"/>
      </w:pPr>
      <w:r>
        <w:t xml:space="preserve">A higher energy demand – this is achieved by increasing the domestic heat demand from 222 TWh/year (based on FES 2022 </w:t>
      </w:r>
      <w:r w:rsidR="00015404">
        <w:t>"</w:t>
      </w:r>
      <w:r>
        <w:t>Leading the Way</w:t>
      </w:r>
      <w:r w:rsidR="00015404">
        <w:t>"</w:t>
      </w:r>
      <w:r>
        <w:t xml:space="preserve">) to 277 TWh/year (based on FES 2022 </w:t>
      </w:r>
      <w:r w:rsidR="00015404">
        <w:t>"</w:t>
      </w:r>
      <w:r>
        <w:t>System Transformation</w:t>
      </w:r>
      <w:r w:rsidR="00015404">
        <w:t>"</w:t>
      </w:r>
      <w:r>
        <w:t>).</w:t>
      </w:r>
    </w:p>
    <w:p w14:paraId="5CC34DBA" w14:textId="38868C66" w:rsidR="00494EFE" w:rsidRDefault="00494EFE" w:rsidP="00494EFE">
      <w:pPr>
        <w:pStyle w:val="BulletPoint1"/>
      </w:pPr>
      <w:r>
        <w:t>A higher cost distributed flexibility resources – the cost of demand response technologies and energy storage is increased by 20% in the high-cost scenario.</w:t>
      </w:r>
    </w:p>
    <w:p w14:paraId="4BBB7124" w14:textId="376E253D" w:rsidR="00494EFE" w:rsidRDefault="00494EFE" w:rsidP="00494EFE">
      <w:pPr>
        <w:pStyle w:val="BulletPoint1"/>
      </w:pPr>
      <w:r>
        <w:t xml:space="preserve">A 10% higher distribution network cost </w:t>
      </w:r>
    </w:p>
    <w:p w14:paraId="250641A5" w14:textId="56C841F7" w:rsidR="00494EFE" w:rsidRDefault="00494EFE" w:rsidP="00494EFE">
      <w:pPr>
        <w:pStyle w:val="BulletPoint1"/>
      </w:pPr>
      <w:r>
        <w:t xml:space="preserve">A lower </w:t>
      </w:r>
      <w:proofErr w:type="spellStart"/>
      <w:r>
        <w:t>levelised</w:t>
      </w:r>
      <w:proofErr w:type="spellEnd"/>
      <w:r>
        <w:t xml:space="preserve"> cost of wind generation – this study aims to increase wind penetration in the system and therefore increases the system flexibility requirements.</w:t>
      </w:r>
    </w:p>
    <w:p w14:paraId="5DD89E1D" w14:textId="6B0A5943" w:rsidR="00494EFE" w:rsidRDefault="00494EFE" w:rsidP="00494EFE">
      <w:pPr>
        <w:pStyle w:val="BulletPoint1"/>
      </w:pPr>
      <w:r>
        <w:t>Lack of demand response services</w:t>
      </w:r>
      <w:r w:rsidR="00015404">
        <w:t xml:space="preserve"> </w:t>
      </w:r>
      <w:r w:rsidR="0019013F">
        <w:t>may trigger other</w:t>
      </w:r>
      <w:r>
        <w:t xml:space="preserve"> distributed flexibility </w:t>
      </w:r>
      <w:r w:rsidR="0019013F">
        <w:t>technologies, such as energy storage,</w:t>
      </w:r>
      <w:r>
        <w:t xml:space="preserve"> </w:t>
      </w:r>
      <w:r w:rsidR="00015404">
        <w:t xml:space="preserve">and </w:t>
      </w:r>
      <w:r>
        <w:t>may affect the need for stronger ESO and DSO coordination.</w:t>
      </w:r>
    </w:p>
    <w:p w14:paraId="696177D2" w14:textId="77777777" w:rsidR="00494EFE" w:rsidRDefault="00494EFE" w:rsidP="00494EFE">
      <w:pPr>
        <w:pStyle w:val="BulletPoint1"/>
        <w:numPr>
          <w:ilvl w:val="0"/>
          <w:numId w:val="0"/>
        </w:numPr>
      </w:pPr>
    </w:p>
    <w:p w14:paraId="2AB84857" w14:textId="0468FFA2" w:rsidR="00EB707A" w:rsidRDefault="00494EFE" w:rsidP="00494EFE">
      <w:pPr>
        <w:pStyle w:val="BulletPoint1"/>
        <w:numPr>
          <w:ilvl w:val="0"/>
          <w:numId w:val="0"/>
        </w:numPr>
      </w:pPr>
      <w:r>
        <w:t xml:space="preserve">The altered parameters in the sensitivity studies are compared with those in the core scenarios. The comparison of those parameters is shown in </w:t>
      </w:r>
      <w:r w:rsidR="00015404">
        <w:fldChar w:fldCharType="begin"/>
      </w:r>
      <w:r w:rsidR="00015404">
        <w:instrText xml:space="preserve"> REF _Ref135548727 \h </w:instrText>
      </w:r>
      <w:r w:rsidR="00015404">
        <w:fldChar w:fldCharType="separate"/>
      </w:r>
      <w:r w:rsidR="00015404" w:rsidRPr="0056306A">
        <w:t xml:space="preserve">Table </w:t>
      </w:r>
      <w:r w:rsidR="00015404">
        <w:rPr>
          <w:noProof/>
        </w:rPr>
        <w:t>3</w:t>
      </w:r>
      <w:r w:rsidR="00015404">
        <w:noBreakHyphen/>
      </w:r>
      <w:r w:rsidR="00015404">
        <w:rPr>
          <w:noProof/>
        </w:rPr>
        <w:t>1</w:t>
      </w:r>
      <w:r w:rsidR="00015404">
        <w:fldChar w:fldCharType="end"/>
      </w:r>
      <w:r w:rsidR="00015404">
        <w:t>.</w:t>
      </w:r>
    </w:p>
    <w:p w14:paraId="6463034B" w14:textId="3B8FDEE3" w:rsidR="00494EFE" w:rsidRPr="00015404" w:rsidRDefault="00015404" w:rsidP="00015404">
      <w:pPr>
        <w:pStyle w:val="Caption"/>
      </w:pPr>
      <w:bookmarkStart w:id="41" w:name="_Ref135548727"/>
      <w:r w:rsidRPr="0056306A">
        <w:t xml:space="preserve">Table </w:t>
      </w:r>
      <w:r>
        <w:fldChar w:fldCharType="begin"/>
      </w:r>
      <w:r>
        <w:instrText>STYLEREF 1 \s</w:instrText>
      </w:r>
      <w:r>
        <w:fldChar w:fldCharType="separate"/>
      </w:r>
      <w:r>
        <w:rPr>
          <w:noProof/>
        </w:rPr>
        <w:t>3</w:t>
      </w:r>
      <w:r>
        <w:fldChar w:fldCharType="end"/>
      </w:r>
      <w:r>
        <w:noBreakHyphen/>
      </w:r>
      <w:r>
        <w:fldChar w:fldCharType="begin"/>
      </w:r>
      <w:r>
        <w:instrText>SEQ Table \* ARABIC \s 1</w:instrText>
      </w:r>
      <w:r>
        <w:fldChar w:fldCharType="separate"/>
      </w:r>
      <w:r>
        <w:rPr>
          <w:noProof/>
        </w:rPr>
        <w:t>1</w:t>
      </w:r>
      <w:r>
        <w:fldChar w:fldCharType="end"/>
      </w:r>
      <w:bookmarkEnd w:id="41"/>
      <w:r w:rsidRPr="0056306A">
        <w:t xml:space="preserve"> List of </w:t>
      </w:r>
      <w:r>
        <w:t xml:space="preserve">sensitivity study </w:t>
      </w:r>
      <w:r w:rsidRPr="0056306A">
        <w:t xml:space="preserve">scenarios being </w:t>
      </w:r>
      <w:proofErr w:type="gramStart"/>
      <w:r w:rsidRPr="0056306A">
        <w:t>studied</w:t>
      </w:r>
      <w:proofErr w:type="gramEnd"/>
    </w:p>
    <w:tbl>
      <w:tblPr>
        <w:tblW w:w="5000" w:type="pct"/>
        <w:tblCellMar>
          <w:left w:w="0" w:type="dxa"/>
          <w:right w:w="0" w:type="dxa"/>
        </w:tblCellMar>
        <w:tblLook w:val="0420" w:firstRow="1" w:lastRow="0" w:firstColumn="0" w:lastColumn="0" w:noHBand="0" w:noVBand="1"/>
      </w:tblPr>
      <w:tblGrid>
        <w:gridCol w:w="3016"/>
        <w:gridCol w:w="2929"/>
        <w:gridCol w:w="3106"/>
      </w:tblGrid>
      <w:tr w:rsidR="00EB707A" w:rsidRPr="00EB707A" w14:paraId="6F3AED90" w14:textId="77777777" w:rsidTr="00390E22">
        <w:trPr>
          <w:trHeight w:val="824"/>
        </w:trPr>
        <w:tc>
          <w:tcPr>
            <w:tcW w:w="1666"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7ABBFCFB" w14:textId="77777777" w:rsidR="00EB707A" w:rsidRPr="00EB707A" w:rsidRDefault="00EB707A" w:rsidP="00EB707A">
            <w:pPr>
              <w:jc w:val="left"/>
            </w:pPr>
            <w:r w:rsidRPr="00EB707A">
              <w:rPr>
                <w:b/>
                <w:bCs/>
              </w:rPr>
              <w:t>Factors</w:t>
            </w:r>
          </w:p>
        </w:tc>
        <w:tc>
          <w:tcPr>
            <w:tcW w:w="1618"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18E51F0C" w14:textId="77777777" w:rsidR="00EB707A" w:rsidRPr="00EB707A" w:rsidRDefault="00EB707A" w:rsidP="00EB707A">
            <w:pPr>
              <w:jc w:val="left"/>
            </w:pPr>
            <w:r w:rsidRPr="00EB707A">
              <w:rPr>
                <w:b/>
                <w:bCs/>
              </w:rPr>
              <w:t>Core</w:t>
            </w:r>
          </w:p>
        </w:tc>
        <w:tc>
          <w:tcPr>
            <w:tcW w:w="1716"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28E4DE8F" w14:textId="77777777" w:rsidR="00EB707A" w:rsidRPr="00EB707A" w:rsidRDefault="00EB707A" w:rsidP="00EB707A">
            <w:pPr>
              <w:jc w:val="left"/>
            </w:pPr>
            <w:r w:rsidRPr="00EB707A">
              <w:rPr>
                <w:b/>
                <w:bCs/>
              </w:rPr>
              <w:t>Sensitivity</w:t>
            </w:r>
          </w:p>
        </w:tc>
      </w:tr>
      <w:tr w:rsidR="00EB707A" w:rsidRPr="00EB707A" w14:paraId="0DC09A66" w14:textId="77777777" w:rsidTr="00390E22">
        <w:trPr>
          <w:trHeight w:val="673"/>
        </w:trPr>
        <w:tc>
          <w:tcPr>
            <w:tcW w:w="1666"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2B89071" w14:textId="77777777" w:rsidR="00EB707A" w:rsidRPr="00EB707A" w:rsidRDefault="00EB707A" w:rsidP="006B5E1A">
            <w:pPr>
              <w:spacing w:after="0"/>
              <w:jc w:val="left"/>
            </w:pPr>
            <w:r w:rsidRPr="00EB707A">
              <w:t>Level of domestic heat demand (TWh/year)</w:t>
            </w:r>
          </w:p>
        </w:tc>
        <w:tc>
          <w:tcPr>
            <w:tcW w:w="1618"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D8A24E1" w14:textId="77777777" w:rsidR="00EB707A" w:rsidRPr="00EB707A" w:rsidRDefault="00EB707A" w:rsidP="006B5E1A">
            <w:pPr>
              <w:spacing w:after="0"/>
              <w:jc w:val="left"/>
            </w:pPr>
            <w:r w:rsidRPr="00EB707A">
              <w:t>222 (Leading the Way)</w:t>
            </w:r>
          </w:p>
        </w:tc>
        <w:tc>
          <w:tcPr>
            <w:tcW w:w="1716"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7B59FCE" w14:textId="77777777" w:rsidR="00EB707A" w:rsidRPr="00EB707A" w:rsidRDefault="00EB707A" w:rsidP="006B5E1A">
            <w:pPr>
              <w:spacing w:after="0"/>
              <w:jc w:val="left"/>
            </w:pPr>
            <w:r w:rsidRPr="00EB707A">
              <w:t>277 (System transformation)</w:t>
            </w:r>
          </w:p>
        </w:tc>
      </w:tr>
      <w:tr w:rsidR="00EB707A" w:rsidRPr="00EB707A" w14:paraId="71411F6D" w14:textId="77777777" w:rsidTr="00390E22">
        <w:trPr>
          <w:trHeight w:val="497"/>
        </w:trPr>
        <w:tc>
          <w:tcPr>
            <w:tcW w:w="1666" w:type="pc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0EFF892" w14:textId="77777777" w:rsidR="00EB707A" w:rsidRPr="00EB707A" w:rsidRDefault="00EB707A" w:rsidP="006B5E1A">
            <w:pPr>
              <w:spacing w:after="0"/>
              <w:jc w:val="left"/>
            </w:pPr>
            <w:r w:rsidRPr="00EB707A">
              <w:t>Cost of distributed flexibility resources</w:t>
            </w:r>
          </w:p>
        </w:tc>
        <w:tc>
          <w:tcPr>
            <w:tcW w:w="1618" w:type="pc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011FD7C1" w14:textId="70FCC9D5" w:rsidR="00EB707A" w:rsidRPr="00EB707A" w:rsidRDefault="00EB707A" w:rsidP="006B5E1A">
            <w:pPr>
              <w:spacing w:after="0"/>
              <w:jc w:val="left"/>
            </w:pPr>
            <w:r w:rsidRPr="00EB707A">
              <w:t>Low</w:t>
            </w:r>
            <w:r w:rsidR="0019013F">
              <w:t>-</w:t>
            </w:r>
            <w:r w:rsidRPr="00EB707A">
              <w:t>cost scenario</w:t>
            </w:r>
          </w:p>
        </w:tc>
        <w:tc>
          <w:tcPr>
            <w:tcW w:w="1716" w:type="pc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DA4AB01" w14:textId="6ED72841" w:rsidR="00EB707A" w:rsidRPr="00EB707A" w:rsidRDefault="00EB707A" w:rsidP="006B5E1A">
            <w:pPr>
              <w:spacing w:after="0"/>
              <w:jc w:val="left"/>
            </w:pPr>
            <w:r w:rsidRPr="00EB707A">
              <w:t>High</w:t>
            </w:r>
            <w:r w:rsidR="0019013F">
              <w:t>-</w:t>
            </w:r>
            <w:r w:rsidRPr="00EB707A">
              <w:t>cost scenario (+20%)</w:t>
            </w:r>
          </w:p>
        </w:tc>
      </w:tr>
      <w:tr w:rsidR="00EB707A" w:rsidRPr="00EB707A" w14:paraId="1397FD37" w14:textId="77777777" w:rsidTr="00390E22">
        <w:trPr>
          <w:trHeight w:val="677"/>
        </w:trPr>
        <w:tc>
          <w:tcPr>
            <w:tcW w:w="1666" w:type="pct"/>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A5F8AA3" w14:textId="77777777" w:rsidR="00EB707A" w:rsidRPr="00EB707A" w:rsidRDefault="00EB707A" w:rsidP="006B5E1A">
            <w:pPr>
              <w:spacing w:after="0"/>
              <w:jc w:val="left"/>
            </w:pPr>
            <w:r w:rsidRPr="00EB707A">
              <w:t>Cost of distribution network</w:t>
            </w:r>
          </w:p>
        </w:tc>
        <w:tc>
          <w:tcPr>
            <w:tcW w:w="1618" w:type="pct"/>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E567ABC" w14:textId="3EBA0D7C" w:rsidR="00EB707A" w:rsidRPr="00EB707A" w:rsidRDefault="006B5E1A" w:rsidP="006B5E1A">
            <w:pPr>
              <w:spacing w:after="0"/>
              <w:jc w:val="left"/>
            </w:pPr>
            <w:r>
              <w:t>C</w:t>
            </w:r>
            <w:r w:rsidR="00EB707A" w:rsidRPr="00EB707A">
              <w:t>entral</w:t>
            </w:r>
          </w:p>
        </w:tc>
        <w:tc>
          <w:tcPr>
            <w:tcW w:w="1716" w:type="pct"/>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6AF713E" w14:textId="73266954" w:rsidR="00EB707A" w:rsidRPr="00EB707A" w:rsidRDefault="00EB707A" w:rsidP="006B5E1A">
            <w:pPr>
              <w:spacing w:after="0"/>
              <w:jc w:val="left"/>
            </w:pPr>
            <w:r w:rsidRPr="00EB707A">
              <w:t>High (+10%)</w:t>
            </w:r>
          </w:p>
        </w:tc>
      </w:tr>
      <w:tr w:rsidR="00EB707A" w:rsidRPr="00EB707A" w14:paraId="68477DCD" w14:textId="77777777" w:rsidTr="00390E22">
        <w:trPr>
          <w:trHeight w:val="155"/>
        </w:trPr>
        <w:tc>
          <w:tcPr>
            <w:tcW w:w="1666" w:type="pc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8D9E878" w14:textId="77777777" w:rsidR="00EB707A" w:rsidRPr="00EB707A" w:rsidRDefault="00EB707A" w:rsidP="006B5E1A">
            <w:pPr>
              <w:spacing w:after="0"/>
              <w:jc w:val="left"/>
            </w:pPr>
            <w:r w:rsidRPr="00EB707A">
              <w:t>Cost of wind</w:t>
            </w:r>
          </w:p>
        </w:tc>
        <w:tc>
          <w:tcPr>
            <w:tcW w:w="1618" w:type="pc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6AB813FD" w14:textId="77777777" w:rsidR="00EB707A" w:rsidRPr="00EB707A" w:rsidRDefault="00EB707A" w:rsidP="006B5E1A">
            <w:pPr>
              <w:spacing w:after="0"/>
              <w:jc w:val="left"/>
            </w:pPr>
            <w:r w:rsidRPr="00EB707A">
              <w:t>£35/MWh</w:t>
            </w:r>
          </w:p>
        </w:tc>
        <w:tc>
          <w:tcPr>
            <w:tcW w:w="1716" w:type="pc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2E3CD4B" w14:textId="77777777" w:rsidR="00EB707A" w:rsidRPr="00EB707A" w:rsidRDefault="00EB707A" w:rsidP="006B5E1A">
            <w:pPr>
              <w:spacing w:after="0"/>
              <w:jc w:val="left"/>
            </w:pPr>
            <w:r w:rsidRPr="00EB707A">
              <w:t>£25/MWh</w:t>
            </w:r>
          </w:p>
        </w:tc>
      </w:tr>
      <w:tr w:rsidR="00EB707A" w:rsidRPr="00EB707A" w14:paraId="5A2C849F" w14:textId="77777777" w:rsidTr="00390E22">
        <w:trPr>
          <w:trHeight w:val="650"/>
        </w:trPr>
        <w:tc>
          <w:tcPr>
            <w:tcW w:w="1666" w:type="pct"/>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9B20D39" w14:textId="77777777" w:rsidR="00EB707A" w:rsidRPr="00EB707A" w:rsidRDefault="00EB707A" w:rsidP="006B5E1A">
            <w:pPr>
              <w:spacing w:after="0"/>
              <w:jc w:val="left"/>
            </w:pPr>
            <w:r w:rsidRPr="00EB707A">
              <w:lastRenderedPageBreak/>
              <w:t>Demand side flexibility</w:t>
            </w:r>
          </w:p>
        </w:tc>
        <w:tc>
          <w:tcPr>
            <w:tcW w:w="1618" w:type="pct"/>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EB1FED3" w14:textId="70FCC836" w:rsidR="00EB707A" w:rsidRPr="00EB707A" w:rsidRDefault="00EB707A" w:rsidP="006B5E1A">
            <w:pPr>
              <w:spacing w:after="0"/>
              <w:jc w:val="left"/>
            </w:pPr>
            <w:r w:rsidRPr="00EB707A">
              <w:t xml:space="preserve">Yes (Consumer </w:t>
            </w:r>
            <w:r w:rsidR="00B02C83">
              <w:t>T</w:t>
            </w:r>
            <w:r w:rsidRPr="00EB707A">
              <w:t>ransformation and Leading the Way)</w:t>
            </w:r>
          </w:p>
        </w:tc>
        <w:tc>
          <w:tcPr>
            <w:tcW w:w="1716" w:type="pct"/>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D89CA8D" w14:textId="77777777" w:rsidR="00EB707A" w:rsidRPr="00EB707A" w:rsidRDefault="00EB707A" w:rsidP="006B5E1A">
            <w:pPr>
              <w:spacing w:after="0"/>
              <w:jc w:val="left"/>
            </w:pPr>
            <w:r w:rsidRPr="00EB707A">
              <w:t>No (System transformation)</w:t>
            </w:r>
          </w:p>
        </w:tc>
      </w:tr>
    </w:tbl>
    <w:p w14:paraId="05B66FB1" w14:textId="61CD299D" w:rsidR="006B5E1A" w:rsidRDefault="00015404" w:rsidP="006B5E1A">
      <w:pPr>
        <w:pStyle w:val="Heading2"/>
      </w:pPr>
      <w:bookmarkStart w:id="42" w:name="_Toc135829967"/>
      <w:r>
        <w:t>System benefits of Scheme 1 (Enhanced Coordination) and Scheme 2 (Distributed Flexibility Coordinator) against Business-as-Usual approach</w:t>
      </w:r>
      <w:bookmarkEnd w:id="42"/>
      <w:r>
        <w:t xml:space="preserve"> </w:t>
      </w:r>
    </w:p>
    <w:p w14:paraId="1B1113D1" w14:textId="77777777" w:rsidR="00B02C83" w:rsidRDefault="00B02C83" w:rsidP="00015404">
      <w:pPr>
        <w:rPr>
          <w:noProof/>
        </w:rPr>
      </w:pPr>
      <w:r>
        <w:t xml:space="preserve">The system benefits of improving ESO-DSO coordination by moving from BaU to Scheme 1 and Scheme 2 are derived by calculating the difference between the annual system costs of those scenarios under different system conditions as defined in </w:t>
      </w:r>
      <w:r>
        <w:fldChar w:fldCharType="begin"/>
      </w:r>
      <w:r>
        <w:instrText xml:space="preserve"> REF _Ref135548727 \h </w:instrText>
      </w:r>
      <w:r>
        <w:fldChar w:fldCharType="separate"/>
      </w:r>
      <w:r w:rsidRPr="0056306A">
        <w:t xml:space="preserve">Table </w:t>
      </w:r>
      <w:r>
        <w:rPr>
          <w:noProof/>
        </w:rPr>
        <w:t>3</w:t>
      </w:r>
      <w:r>
        <w:noBreakHyphen/>
      </w:r>
      <w:r>
        <w:rPr>
          <w:noProof/>
        </w:rPr>
        <w:t>1</w:t>
      </w:r>
      <w:r>
        <w:fldChar w:fldCharType="end"/>
      </w:r>
      <w:r>
        <w:t xml:space="preserve">. The results for </w:t>
      </w:r>
      <w:proofErr w:type="gramStart"/>
      <w:r>
        <w:t>Scheme</w:t>
      </w:r>
      <w:proofErr w:type="gramEnd"/>
      <w:r>
        <w:t xml:space="preserve"> 1 and 2 are shown in </w:t>
      </w:r>
      <w:r>
        <w:fldChar w:fldCharType="begin"/>
      </w:r>
      <w:r>
        <w:instrText xml:space="preserve"> REF _Ref135557860 \h </w:instrText>
      </w:r>
      <w:r>
        <w:fldChar w:fldCharType="separate"/>
      </w:r>
      <w:r w:rsidRPr="0056306A">
        <w:t xml:space="preserve">Figure </w:t>
      </w:r>
      <w:r>
        <w:rPr>
          <w:noProof/>
        </w:rPr>
        <w:t>3</w:t>
      </w:r>
      <w:r w:rsidRPr="0056306A">
        <w:noBreakHyphen/>
      </w:r>
      <w:r>
        <w:rPr>
          <w:noProof/>
        </w:rPr>
        <w:t>1</w:t>
      </w:r>
      <w:r>
        <w:fldChar w:fldCharType="end"/>
      </w:r>
      <w:r>
        <w:t xml:space="preserve"> and </w:t>
      </w:r>
      <w:r>
        <w:fldChar w:fldCharType="begin"/>
      </w:r>
      <w:r>
        <w:instrText xml:space="preserve"> REF _Ref135557862 \h </w:instrText>
      </w:r>
      <w:r>
        <w:fldChar w:fldCharType="separate"/>
      </w:r>
      <w:r w:rsidRPr="0056306A">
        <w:t xml:space="preserve">Figure </w:t>
      </w:r>
      <w:r>
        <w:rPr>
          <w:noProof/>
        </w:rPr>
        <w:t>3</w:t>
      </w:r>
      <w:r w:rsidRPr="0056306A">
        <w:noBreakHyphen/>
      </w:r>
      <w:r>
        <w:rPr>
          <w:noProof/>
        </w:rPr>
        <w:t>2</w:t>
      </w:r>
      <w:r>
        <w:fldChar w:fldCharType="end"/>
      </w:r>
      <w:r>
        <w:t>, respectively.</w:t>
      </w:r>
      <w:r w:rsidRPr="00B02C83">
        <w:rPr>
          <w:noProof/>
        </w:rPr>
        <w:t xml:space="preserve"> </w:t>
      </w:r>
    </w:p>
    <w:p w14:paraId="7F937409" w14:textId="3CC70635" w:rsidR="00B02C83" w:rsidRDefault="002A7852" w:rsidP="00B02C83">
      <w:pPr>
        <w:spacing w:after="0"/>
        <w:jc w:val="center"/>
        <w:rPr>
          <w:noProof/>
        </w:rPr>
      </w:pPr>
      <w:bookmarkStart w:id="43" w:name="_Ref135557860"/>
      <w:r>
        <w:rPr>
          <w:noProof/>
        </w:rPr>
        <w:drawing>
          <wp:inline distT="0" distB="0" distL="0" distR="0" wp14:anchorId="21822FE3" wp14:editId="0209607B">
            <wp:extent cx="5175885" cy="3469005"/>
            <wp:effectExtent l="0" t="0" r="5715" b="0"/>
            <wp:docPr id="1980380696" name="Picture 1980380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5885" cy="3469005"/>
                    </a:xfrm>
                    <a:prstGeom prst="rect">
                      <a:avLst/>
                    </a:prstGeom>
                    <a:noFill/>
                  </pic:spPr>
                </pic:pic>
              </a:graphicData>
            </a:graphic>
          </wp:inline>
        </w:drawing>
      </w:r>
    </w:p>
    <w:p w14:paraId="753DE57E" w14:textId="10E36B2E" w:rsidR="00015404" w:rsidRDefault="00015404" w:rsidP="00B02C83">
      <w:pPr>
        <w:pStyle w:val="Caption"/>
      </w:pPr>
      <w:r w:rsidRPr="0056306A">
        <w:t xml:space="preserve">Figure </w:t>
      </w:r>
      <w:r>
        <w:fldChar w:fldCharType="begin"/>
      </w:r>
      <w:r>
        <w:instrText>STYLEREF 1 \s</w:instrText>
      </w:r>
      <w:r>
        <w:fldChar w:fldCharType="separate"/>
      </w:r>
      <w:r>
        <w:t>3</w:t>
      </w:r>
      <w:r>
        <w:fldChar w:fldCharType="end"/>
      </w:r>
      <w:r w:rsidRPr="0056306A">
        <w:noBreakHyphen/>
      </w:r>
      <w:r>
        <w:fldChar w:fldCharType="begin"/>
      </w:r>
      <w:r>
        <w:instrText>SEQ Figure \* ARABIC \s 1</w:instrText>
      </w:r>
      <w:r>
        <w:fldChar w:fldCharType="separate"/>
      </w:r>
      <w:r>
        <w:t>1</w:t>
      </w:r>
      <w:r>
        <w:fldChar w:fldCharType="end"/>
      </w:r>
      <w:bookmarkEnd w:id="43"/>
      <w:r w:rsidRPr="0056306A">
        <w:t xml:space="preserve"> </w:t>
      </w:r>
      <w:r>
        <w:t xml:space="preserve">System benefits of Scheme 1 (Enhanced ESO-DSO coordination) against the Business-as-Usual </w:t>
      </w:r>
      <w:proofErr w:type="gramStart"/>
      <w:r>
        <w:t>approach</w:t>
      </w:r>
      <w:proofErr w:type="gramEnd"/>
      <w:r>
        <w:t xml:space="preserve"> </w:t>
      </w:r>
    </w:p>
    <w:p w14:paraId="0A8F2507" w14:textId="5F4945EA" w:rsidR="00B02C83" w:rsidRPr="00B02C83" w:rsidRDefault="00B02C83" w:rsidP="00B02C83"/>
    <w:p w14:paraId="2F400DD0" w14:textId="23AECBB7" w:rsidR="00015404" w:rsidRDefault="002A7852" w:rsidP="00B02C83">
      <w:pPr>
        <w:spacing w:after="0"/>
        <w:jc w:val="center"/>
      </w:pPr>
      <w:r>
        <w:rPr>
          <w:noProof/>
        </w:rPr>
        <w:lastRenderedPageBreak/>
        <w:drawing>
          <wp:inline distT="0" distB="0" distL="0" distR="0" wp14:anchorId="03C9E062" wp14:editId="72B1CC37">
            <wp:extent cx="5172075" cy="3648075"/>
            <wp:effectExtent l="0" t="0" r="0" b="0"/>
            <wp:docPr id="585909349" name="Chart 1">
              <a:extLst xmlns:a="http://schemas.openxmlformats.org/drawingml/2006/main">
                <a:ext uri="{FF2B5EF4-FFF2-40B4-BE49-F238E27FC236}">
                  <a16:creationId xmlns:a16="http://schemas.microsoft.com/office/drawing/2014/main" id="{050129EB-FA0C-4801-9667-9CCC8A90A2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043DC7B" w14:textId="5E8DEE00" w:rsidR="00015404" w:rsidRPr="0056306A" w:rsidRDefault="00015404" w:rsidP="00015404">
      <w:pPr>
        <w:pStyle w:val="Caption"/>
      </w:pPr>
      <w:bookmarkStart w:id="44" w:name="_Ref135557862"/>
      <w:r w:rsidRPr="0056306A">
        <w:t xml:space="preserve">Figure </w:t>
      </w:r>
      <w:r>
        <w:fldChar w:fldCharType="begin"/>
      </w:r>
      <w:r>
        <w:instrText>STYLEREF 1 \s</w:instrText>
      </w:r>
      <w:r>
        <w:fldChar w:fldCharType="separate"/>
      </w:r>
      <w:r>
        <w:rPr>
          <w:noProof/>
        </w:rPr>
        <w:t>3</w:t>
      </w:r>
      <w:r>
        <w:fldChar w:fldCharType="end"/>
      </w:r>
      <w:r w:rsidRPr="0056306A">
        <w:noBreakHyphen/>
      </w:r>
      <w:r>
        <w:fldChar w:fldCharType="begin"/>
      </w:r>
      <w:r>
        <w:instrText>SEQ Figure \* ARABIC \s 1</w:instrText>
      </w:r>
      <w:r>
        <w:fldChar w:fldCharType="separate"/>
      </w:r>
      <w:r>
        <w:rPr>
          <w:noProof/>
        </w:rPr>
        <w:t>2</w:t>
      </w:r>
      <w:r>
        <w:fldChar w:fldCharType="end"/>
      </w:r>
      <w:bookmarkEnd w:id="44"/>
      <w:r w:rsidRPr="0056306A">
        <w:t xml:space="preserve"> </w:t>
      </w:r>
      <w:r>
        <w:t xml:space="preserve">System benefits of Scheme </w:t>
      </w:r>
      <w:r w:rsidR="00B02C83">
        <w:t>2</w:t>
      </w:r>
      <w:r>
        <w:t xml:space="preserve"> (Enhanced ESO-DSO coordination) against the Business-as-Usual </w:t>
      </w:r>
      <w:proofErr w:type="gramStart"/>
      <w:r>
        <w:t>approach</w:t>
      </w:r>
      <w:proofErr w:type="gramEnd"/>
    </w:p>
    <w:p w14:paraId="465970A9" w14:textId="6A994D80" w:rsidR="00015404" w:rsidRDefault="002A7852" w:rsidP="00B02C83">
      <w:r>
        <w:t>The modelling results of the sensitivity studies demonstrate the following:</w:t>
      </w:r>
    </w:p>
    <w:p w14:paraId="22F069B5" w14:textId="64E3DF99" w:rsidR="002A7852" w:rsidRDefault="000E5B04" w:rsidP="002A7852">
      <w:pPr>
        <w:pStyle w:val="BulletPoint1"/>
      </w:pPr>
      <w:r>
        <w:t xml:space="preserve">Improving the ESO-DSO coordination approach from the BaU to </w:t>
      </w:r>
      <w:proofErr w:type="gramStart"/>
      <w:r>
        <w:t>Scheme</w:t>
      </w:r>
      <w:proofErr w:type="gramEnd"/>
      <w:r>
        <w:t xml:space="preserve"> 1 and 2 will reduce the cost of the future system by 0.3 – 0.9 £bn/year in the hydrogen scenario and 1.1 – 4.3 £bn/year in the deep electrification scenario. </w:t>
      </w:r>
    </w:p>
    <w:p w14:paraId="1C9A2657" w14:textId="151AE031" w:rsidR="000E5B04" w:rsidRDefault="000E5B04" w:rsidP="002A7852">
      <w:pPr>
        <w:pStyle w:val="BulletPoint1"/>
      </w:pPr>
      <w:r>
        <w:t>While the cost of improving the coordination has not been considered, the cost is likely to be lower than the benefits. Further detailed studies are recommended to understand what needs to be provided to enable such coordination and the associated costs.</w:t>
      </w:r>
    </w:p>
    <w:p w14:paraId="54BCB776" w14:textId="75BD45FA" w:rsidR="000E5B04" w:rsidRDefault="000E5B04" w:rsidP="002A7852">
      <w:pPr>
        <w:pStyle w:val="BulletPoint1"/>
      </w:pPr>
      <w:r>
        <w:t xml:space="preserve">If the future system is moving towards full electrification of heat and transport, the case for improving ESO-DSO coordination would be stronger than the one with hydrogen heating. </w:t>
      </w:r>
    </w:p>
    <w:p w14:paraId="52FFAB21" w14:textId="73AF68BB" w:rsidR="000E5B04" w:rsidRDefault="000E5B04" w:rsidP="002A7852">
      <w:pPr>
        <w:pStyle w:val="BulletPoint1"/>
      </w:pPr>
      <w:r>
        <w:t>The benefits of Schemes 1 and 2 are also higher in the system with higher energy demand and without demand response. Without demand response, the amount of electricity storage needed in the system to provide flexibility increases substantially, and most of them will be located at distribution as it can also be used to manage distribution network constraints. Hence, this increased distributed electricity storage will also increase ESO and DSO</w:t>
      </w:r>
      <w:r w:rsidR="0007436A">
        <w:t>'</w:t>
      </w:r>
      <w:r>
        <w:t xml:space="preserve">s operational challenges; therefore, stronger coordination will be needed. </w:t>
      </w:r>
    </w:p>
    <w:p w14:paraId="21B5509F" w14:textId="36A3F2DC" w:rsidR="000E5B04" w:rsidRDefault="000E5B04" w:rsidP="002A7852">
      <w:pPr>
        <w:pStyle w:val="BulletPoint1"/>
      </w:pPr>
      <w:r>
        <w:t>Other conditions</w:t>
      </w:r>
      <w:r w:rsidR="0019013F">
        <w:t>,</w:t>
      </w:r>
      <w:r>
        <w:t xml:space="preserve"> such as </w:t>
      </w:r>
      <w:r w:rsidR="0019013F">
        <w:t xml:space="preserve">the </w:t>
      </w:r>
      <w:r>
        <w:t>lower cost of wind</w:t>
      </w:r>
      <w:r w:rsidR="0019013F">
        <w:t>,</w:t>
      </w:r>
      <w:r>
        <w:t xml:space="preserve"> may also increase the need for coordination but not always occur in all cases we simulated. As wind is already very dominant in the core scenarios, increasing more wind due to its lower cost will not affect the system performance so much and the need for flexibility.</w:t>
      </w:r>
    </w:p>
    <w:p w14:paraId="15793B49" w14:textId="62DB1A5B" w:rsidR="000E5B04" w:rsidRDefault="000E5B04" w:rsidP="002A7852">
      <w:pPr>
        <w:pStyle w:val="BulletPoint1"/>
      </w:pPr>
      <w:r>
        <w:t>Higher distributed flexibility cost</w:t>
      </w:r>
      <w:r w:rsidR="0019013F">
        <w:t>s</w:t>
      </w:r>
      <w:r>
        <w:t xml:space="preserve"> may reduce </w:t>
      </w:r>
      <w:r w:rsidR="0019013F">
        <w:t>the case for improving coordination slightly,</w:t>
      </w:r>
      <w:r>
        <w:t xml:space="preserve"> but the impact is marginal</w:t>
      </w:r>
      <w:r w:rsidR="0019013F">
        <w:t>,</w:t>
      </w:r>
      <w:r>
        <w:t xml:space="preserve"> and the savings are still positive.</w:t>
      </w:r>
    </w:p>
    <w:p w14:paraId="51513D7F" w14:textId="453ED4A2" w:rsidR="6A6BC35A" w:rsidRDefault="6A6BC35A" w:rsidP="0BAF9C11">
      <w:pPr>
        <w:pStyle w:val="Heading1"/>
        <w:rPr>
          <w:lang w:val="en-GB"/>
        </w:rPr>
      </w:pPr>
      <w:bookmarkStart w:id="45" w:name="_Toc135829968"/>
      <w:r w:rsidRPr="0BAF9C11">
        <w:rPr>
          <w:lang w:val="en-GB"/>
        </w:rPr>
        <w:lastRenderedPageBreak/>
        <w:t>Use Cases</w:t>
      </w:r>
      <w:bookmarkEnd w:id="45"/>
    </w:p>
    <w:p w14:paraId="4D5F3E16" w14:textId="509E3165" w:rsidR="004424A0" w:rsidRDefault="004424A0" w:rsidP="004424A0">
      <w:pPr>
        <w:pStyle w:val="Heading2"/>
      </w:pPr>
      <w:bookmarkStart w:id="46" w:name="_Toc135829969"/>
      <w:r>
        <w:t>Objective</w:t>
      </w:r>
      <w:bookmarkEnd w:id="46"/>
    </w:p>
    <w:p w14:paraId="40384C95" w14:textId="483F4277" w:rsidR="00B263A5" w:rsidRPr="00B263A5" w:rsidRDefault="00EA254B" w:rsidP="00390E22">
      <w:pPr>
        <w:spacing w:after="160" w:line="259" w:lineRule="auto"/>
        <w:jc w:val="left"/>
        <w:rPr>
          <w:rFonts w:cstheme="minorHAnsi"/>
        </w:rPr>
      </w:pPr>
      <w:r>
        <w:t xml:space="preserve">We have defined a range of use cases that will be used, in Workstream 3, to analyse and benchmark the performance of Scheme 1 and Scheme 2. The use cases consider the </w:t>
      </w:r>
      <w:proofErr w:type="gramStart"/>
      <w:r>
        <w:t>worst case</w:t>
      </w:r>
      <w:proofErr w:type="gramEnd"/>
      <w:r>
        <w:t xml:space="preserve"> scenarios for the operation of the networks, adequately applied to prototype networks. </w:t>
      </w:r>
      <w:r w:rsidR="00B263A5" w:rsidRPr="473427E7">
        <w:t xml:space="preserve">For each of the use cases, we will associate a stressed situation with an illustrative example of a dummy network diagram, reflecting a network location where the stressed situation would be </w:t>
      </w:r>
      <w:proofErr w:type="spellStart"/>
      <w:r w:rsidR="00B263A5" w:rsidRPr="473427E7">
        <w:t>particulary</w:t>
      </w:r>
      <w:proofErr w:type="spellEnd"/>
      <w:r w:rsidR="00B263A5" w:rsidRPr="473427E7">
        <w:t xml:space="preserve"> serious. For each use case, we will define the situation, summarise the expected impact and briefly discuss the required flexibility services by DERs.</w:t>
      </w:r>
    </w:p>
    <w:p w14:paraId="549C722B" w14:textId="206C964C" w:rsidR="002D0CD7" w:rsidRDefault="002D0CD7" w:rsidP="002D0CD7">
      <w:pPr>
        <w:pStyle w:val="Heading2"/>
      </w:pPr>
      <w:bookmarkStart w:id="47" w:name="_Toc135829970"/>
      <w:r>
        <w:t>Definition of</w:t>
      </w:r>
      <w:r w:rsidR="00CF5CC9">
        <w:t xml:space="preserve"> stressed situations</w:t>
      </w:r>
      <w:bookmarkEnd w:id="47"/>
    </w:p>
    <w:p w14:paraId="1B0F12AF" w14:textId="010CA0D9" w:rsidR="000136AD" w:rsidRPr="00390E22" w:rsidRDefault="00831E79" w:rsidP="00F96B3B">
      <w:pPr>
        <w:spacing w:after="160" w:line="259" w:lineRule="auto"/>
        <w:jc w:val="left"/>
        <w:rPr>
          <w:rFonts w:cstheme="minorHAnsi"/>
        </w:rPr>
      </w:pPr>
      <w:r w:rsidRPr="00390E22">
        <w:rPr>
          <w:rFonts w:cstheme="minorHAnsi"/>
        </w:rPr>
        <w:t>We have i</w:t>
      </w:r>
      <w:r w:rsidRPr="00576CEB">
        <w:rPr>
          <w:rFonts w:cstheme="minorHAnsi"/>
        </w:rPr>
        <w:t>dentif</w:t>
      </w:r>
      <w:r w:rsidRPr="00390E22">
        <w:rPr>
          <w:rFonts w:cstheme="minorHAnsi"/>
        </w:rPr>
        <w:t>ied</w:t>
      </w:r>
      <w:r w:rsidRPr="00576CEB">
        <w:rPr>
          <w:rFonts w:cstheme="minorHAnsi"/>
        </w:rPr>
        <w:t xml:space="preserve"> specific operational </w:t>
      </w:r>
      <w:r w:rsidR="00C07EE4" w:rsidRPr="00390E22">
        <w:rPr>
          <w:rFonts w:cstheme="minorHAnsi"/>
        </w:rPr>
        <w:t xml:space="preserve">use </w:t>
      </w:r>
      <w:r w:rsidRPr="00576CEB">
        <w:rPr>
          <w:rFonts w:cstheme="minorHAnsi"/>
        </w:rPr>
        <w:t>cases</w:t>
      </w:r>
      <w:r w:rsidRPr="00390E22">
        <w:rPr>
          <w:rFonts w:cstheme="minorHAnsi"/>
        </w:rPr>
        <w:t xml:space="preserve">, with a </w:t>
      </w:r>
      <w:r w:rsidRPr="00576CEB">
        <w:rPr>
          <w:rFonts w:cstheme="minorHAnsi"/>
        </w:rPr>
        <w:t xml:space="preserve">focus </w:t>
      </w:r>
      <w:r w:rsidR="000136AD" w:rsidRPr="00390E22">
        <w:rPr>
          <w:rFonts w:cstheme="minorHAnsi"/>
        </w:rPr>
        <w:t xml:space="preserve">on stressed situations for </w:t>
      </w:r>
      <w:r w:rsidR="008E7C25" w:rsidRPr="00390E22">
        <w:rPr>
          <w:rFonts w:cstheme="minorHAnsi"/>
        </w:rPr>
        <w:t>network operation and</w:t>
      </w:r>
      <w:r w:rsidR="00C07EE4" w:rsidRPr="00390E22">
        <w:rPr>
          <w:rFonts w:cstheme="minorHAnsi"/>
        </w:rPr>
        <w:t xml:space="preserve"> </w:t>
      </w:r>
      <w:r w:rsidRPr="00576CEB">
        <w:rPr>
          <w:rFonts w:cstheme="minorHAnsi"/>
        </w:rPr>
        <w:t>where coordination ESO-DSO will be essential</w:t>
      </w:r>
      <w:r w:rsidR="008E7C25" w:rsidRPr="00390E22">
        <w:rPr>
          <w:rFonts w:cstheme="minorHAnsi"/>
        </w:rPr>
        <w:t xml:space="preserve">. These are aligned with the </w:t>
      </w:r>
      <w:r w:rsidR="00F96B3B" w:rsidRPr="00390E22">
        <w:rPr>
          <w:rFonts w:cstheme="minorHAnsi"/>
        </w:rPr>
        <w:t xml:space="preserve">scenarios mentioned </w:t>
      </w:r>
      <w:r w:rsidR="00277E42" w:rsidRPr="00390E22">
        <w:rPr>
          <w:rFonts w:cstheme="minorHAnsi"/>
        </w:rPr>
        <w:t>above</w:t>
      </w:r>
      <w:r w:rsidR="000136AD" w:rsidRPr="00390E22">
        <w:rPr>
          <w:rFonts w:cstheme="minorHAnsi"/>
        </w:rPr>
        <w:t>. The stressed situations</w:t>
      </w:r>
      <w:r w:rsidR="00AC5C35">
        <w:rPr>
          <w:rFonts w:cstheme="minorHAnsi"/>
        </w:rPr>
        <w:t xml:space="preserve"> </w:t>
      </w:r>
      <w:r w:rsidR="00982A54" w:rsidRPr="00390E22">
        <w:rPr>
          <w:rFonts w:cstheme="minorHAnsi"/>
        </w:rPr>
        <w:t>that we</w:t>
      </w:r>
      <w:r w:rsidR="000136AD" w:rsidRPr="00390E22">
        <w:rPr>
          <w:rFonts w:cstheme="minorHAnsi"/>
        </w:rPr>
        <w:t xml:space="preserve"> considered were</w:t>
      </w:r>
      <w:r w:rsidR="00982A54" w:rsidRPr="00390E22">
        <w:rPr>
          <w:rFonts w:cstheme="minorHAnsi"/>
        </w:rPr>
        <w:t>:</w:t>
      </w:r>
    </w:p>
    <w:p w14:paraId="3EEF9043" w14:textId="00EB3787" w:rsidR="00982A54" w:rsidRPr="00390E22" w:rsidRDefault="00982A54" w:rsidP="00982A54">
      <w:pPr>
        <w:pStyle w:val="ListParagraph"/>
        <w:numPr>
          <w:ilvl w:val="0"/>
          <w:numId w:val="23"/>
        </w:numPr>
        <w:spacing w:after="160" w:line="259" w:lineRule="auto"/>
        <w:jc w:val="left"/>
        <w:rPr>
          <w:rFonts w:cstheme="minorHAnsi"/>
        </w:rPr>
      </w:pPr>
      <w:r w:rsidRPr="00390E22">
        <w:rPr>
          <w:rFonts w:cstheme="minorHAnsi"/>
        </w:rPr>
        <w:t>High offshore</w:t>
      </w:r>
      <w:r w:rsidR="00A5721A">
        <w:rPr>
          <w:rFonts w:cstheme="minorHAnsi"/>
        </w:rPr>
        <w:t xml:space="preserve"> wind energy generation</w:t>
      </w:r>
    </w:p>
    <w:p w14:paraId="4FB52E53" w14:textId="7828F895" w:rsidR="00982A54" w:rsidRPr="00390E22" w:rsidRDefault="00C5202C" w:rsidP="00982A54">
      <w:pPr>
        <w:pStyle w:val="ListParagraph"/>
        <w:numPr>
          <w:ilvl w:val="0"/>
          <w:numId w:val="23"/>
        </w:numPr>
        <w:spacing w:after="160" w:line="259" w:lineRule="auto"/>
        <w:jc w:val="left"/>
        <w:rPr>
          <w:rFonts w:cstheme="minorHAnsi"/>
        </w:rPr>
      </w:pPr>
      <w:r w:rsidRPr="00390E22">
        <w:rPr>
          <w:rFonts w:cstheme="minorHAnsi"/>
        </w:rPr>
        <w:t>High heat pump consumption</w:t>
      </w:r>
    </w:p>
    <w:p w14:paraId="3318F58A" w14:textId="2B751AAA" w:rsidR="00C5202C" w:rsidRPr="00390E22" w:rsidRDefault="00607B22" w:rsidP="00982A54">
      <w:pPr>
        <w:pStyle w:val="ListParagraph"/>
        <w:numPr>
          <w:ilvl w:val="0"/>
          <w:numId w:val="23"/>
        </w:numPr>
        <w:spacing w:after="160" w:line="259" w:lineRule="auto"/>
        <w:jc w:val="left"/>
        <w:rPr>
          <w:rFonts w:cstheme="minorHAnsi"/>
        </w:rPr>
      </w:pPr>
      <w:r w:rsidRPr="00390E22">
        <w:rPr>
          <w:rFonts w:cstheme="minorHAnsi"/>
        </w:rPr>
        <w:t>High demand for transport</w:t>
      </w:r>
    </w:p>
    <w:p w14:paraId="6190A97B" w14:textId="470CAE06" w:rsidR="00607B22" w:rsidRPr="00390E22" w:rsidRDefault="00B1077F" w:rsidP="00982A54">
      <w:pPr>
        <w:pStyle w:val="ListParagraph"/>
        <w:numPr>
          <w:ilvl w:val="0"/>
          <w:numId w:val="23"/>
        </w:numPr>
        <w:spacing w:after="160" w:line="259" w:lineRule="auto"/>
        <w:jc w:val="left"/>
        <w:rPr>
          <w:rFonts w:cstheme="minorHAnsi"/>
        </w:rPr>
      </w:pPr>
      <w:r w:rsidRPr="00390E22">
        <w:rPr>
          <w:rFonts w:cstheme="minorHAnsi"/>
        </w:rPr>
        <w:t>High e</w:t>
      </w:r>
      <w:r w:rsidR="00571819" w:rsidRPr="00390E22">
        <w:rPr>
          <w:rFonts w:cstheme="minorHAnsi"/>
        </w:rPr>
        <w:t>mbedded generation</w:t>
      </w:r>
      <w:r w:rsidRPr="00390E22">
        <w:rPr>
          <w:rFonts w:cstheme="minorHAnsi"/>
        </w:rPr>
        <w:t>, namely solar PV</w:t>
      </w:r>
    </w:p>
    <w:p w14:paraId="310523C1" w14:textId="0B12902B" w:rsidR="009C0243" w:rsidRDefault="00A5721A" w:rsidP="00390E22">
      <w:pPr>
        <w:pStyle w:val="Heading3"/>
      </w:pPr>
      <w:bookmarkStart w:id="48" w:name="_Toc135829971"/>
      <w:r>
        <w:t>High offshore wind energy generation</w:t>
      </w:r>
      <w:bookmarkEnd w:id="48"/>
    </w:p>
    <w:p w14:paraId="49ECFFA1" w14:textId="51DD3343" w:rsidR="00A31D66" w:rsidRDefault="00A31D66" w:rsidP="00A31D66">
      <w:pPr>
        <w:rPr>
          <w:rFonts w:cstheme="minorHAnsi"/>
        </w:rPr>
      </w:pPr>
      <w:r w:rsidRPr="00390E22">
        <w:rPr>
          <w:rFonts w:cstheme="minorHAnsi"/>
        </w:rPr>
        <w:t>Offshore wind will play a critical role in UK energy system transition to Net Zero. The UK Government target for wind offshore installed capacity in 2030 is 50 GW</w:t>
      </w:r>
      <w:r w:rsidRPr="00390E22">
        <w:rPr>
          <w:rFonts w:cstheme="minorHAnsi"/>
        </w:rPr>
        <w:footnoteReference w:id="4"/>
      </w:r>
      <w:r w:rsidRPr="00390E22">
        <w:rPr>
          <w:rFonts w:cstheme="minorHAnsi"/>
        </w:rPr>
        <w:t>. In line with the ESO Future Energy Scenarios</w:t>
      </w:r>
      <w:r w:rsidR="004458BE">
        <w:rPr>
          <w:rFonts w:cstheme="minorHAnsi"/>
        </w:rPr>
        <w:t xml:space="preserve"> (</w:t>
      </w:r>
      <w:r w:rsidR="00F311FD">
        <w:rPr>
          <w:rFonts w:cstheme="minorHAnsi"/>
        </w:rPr>
        <w:t>"</w:t>
      </w:r>
      <w:r w:rsidR="004458BE">
        <w:rPr>
          <w:rFonts w:cstheme="minorHAnsi"/>
        </w:rPr>
        <w:t>FES")</w:t>
      </w:r>
      <w:r w:rsidRPr="00390E22">
        <w:rPr>
          <w:rFonts w:cstheme="minorHAnsi"/>
        </w:rPr>
        <w:t>, we assume an offshore wind installed capacity of 95GW by 2050, as considered in the System Transformation scenario</w:t>
      </w:r>
      <w:r w:rsidRPr="00390E22">
        <w:rPr>
          <w:rFonts w:cstheme="minorHAnsi"/>
        </w:rPr>
        <w:footnoteReference w:id="5"/>
      </w:r>
      <w:r w:rsidRPr="00390E22">
        <w:rPr>
          <w:rFonts w:cstheme="minorHAnsi"/>
        </w:rPr>
        <w:t>. The high amount of wind energy will require a high level of flexibility at both distribution and transmission level. This is due to the intermittent pattern of wind energy: as peak generation may occur at times of low demand (</w:t>
      </w:r>
      <w:proofErr w:type="gramStart"/>
      <w:r w:rsidRPr="00390E22">
        <w:rPr>
          <w:rFonts w:cstheme="minorHAnsi"/>
        </w:rPr>
        <w:t>week days</w:t>
      </w:r>
      <w:proofErr w:type="gramEnd"/>
      <w:r w:rsidRPr="00390E22">
        <w:rPr>
          <w:rFonts w:cstheme="minorHAnsi"/>
        </w:rPr>
        <w:t xml:space="preserve"> overnight, weekends), there will be a significant need for storing the surplus of wind energy generated or exporting it via interconnections with neighbouring countries. </w:t>
      </w:r>
    </w:p>
    <w:p w14:paraId="5135662C" w14:textId="262D46F3" w:rsidR="00680F70" w:rsidRDefault="00680F70" w:rsidP="00680F70">
      <w:pPr>
        <w:pStyle w:val="Heading3"/>
      </w:pPr>
      <w:bookmarkStart w:id="49" w:name="_Toc135829972"/>
      <w:r>
        <w:t xml:space="preserve">High </w:t>
      </w:r>
      <w:r w:rsidR="00126867">
        <w:t>heat pump</w:t>
      </w:r>
      <w:r w:rsidR="00815B6C">
        <w:t xml:space="preserve"> </w:t>
      </w:r>
      <w:r>
        <w:t>consumption</w:t>
      </w:r>
      <w:r w:rsidR="003D7F04">
        <w:t xml:space="preserve"> (likely over Winter Peak)</w:t>
      </w:r>
      <w:bookmarkEnd w:id="49"/>
    </w:p>
    <w:p w14:paraId="642F575C" w14:textId="2E04687C" w:rsidR="00680F70" w:rsidRDefault="005B567E" w:rsidP="002F3BB0">
      <w:pPr>
        <w:spacing w:after="160" w:line="259" w:lineRule="auto"/>
        <w:jc w:val="left"/>
        <w:rPr>
          <w:rFonts w:ascii="Arial" w:hAnsi="Arial" w:cs="Arial"/>
        </w:rPr>
      </w:pPr>
      <w:r>
        <w:t xml:space="preserve">4 in 5 homes </w:t>
      </w:r>
      <w:r w:rsidR="004458BE">
        <w:t xml:space="preserve">will be </w:t>
      </w:r>
      <w:r>
        <w:t>using a primary heat source other than a natural gas boiler</w:t>
      </w:r>
      <w:r w:rsidR="004458BE">
        <w:t xml:space="preserve"> by 2045, according to</w:t>
      </w:r>
      <w:r w:rsidR="00690760">
        <w:t xml:space="preserve"> all </w:t>
      </w:r>
      <w:r w:rsidR="004458BE">
        <w:t>FE</w:t>
      </w:r>
      <w:r w:rsidR="00757E5B">
        <w:t>S</w:t>
      </w:r>
      <w:r w:rsidR="00690760">
        <w:t xml:space="preserve"> except </w:t>
      </w:r>
      <w:r w:rsidR="00664484">
        <w:t xml:space="preserve">Falling Short. </w:t>
      </w:r>
      <w:r w:rsidR="00BE1CF9">
        <w:t xml:space="preserve">The </w:t>
      </w:r>
      <w:r w:rsidR="00C232A3">
        <w:t xml:space="preserve">wider </w:t>
      </w:r>
      <w:r w:rsidR="00664484">
        <w:t xml:space="preserve">electrification of heat, as seen </w:t>
      </w:r>
      <w:r w:rsidR="00BE1CF9">
        <w:t>before in Chapter 3, wil</w:t>
      </w:r>
      <w:r w:rsidR="00C232A3">
        <w:t xml:space="preserve">l increase the electricity peak demand, as forecasted in the FES. </w:t>
      </w:r>
      <w:r w:rsidR="003D7F04">
        <w:t>This network</w:t>
      </w:r>
      <w:r w:rsidR="007F1969">
        <w:t xml:space="preserve"> situation will be exacerbated namely over </w:t>
      </w:r>
      <w:r w:rsidR="0089537B">
        <w:t xml:space="preserve">evening peaks at </w:t>
      </w:r>
      <w:proofErr w:type="gramStart"/>
      <w:r w:rsidR="0089537B">
        <w:t>Winter</w:t>
      </w:r>
      <w:r w:rsidR="000B3F76">
        <w:t>, when</w:t>
      </w:r>
      <w:proofErr w:type="gramEnd"/>
      <w:r w:rsidR="007F1969">
        <w:t xml:space="preserve"> </w:t>
      </w:r>
      <w:r w:rsidR="0089537B">
        <w:t xml:space="preserve">renewable generation at Distribution level </w:t>
      </w:r>
      <w:r w:rsidR="0089537B">
        <w:lastRenderedPageBreak/>
        <w:t>will be limited</w:t>
      </w:r>
      <w:r w:rsidR="000B3F76">
        <w:t>.</w:t>
      </w:r>
      <w:r w:rsidR="006A70C1">
        <w:t xml:space="preserve"> </w:t>
      </w:r>
      <w:r w:rsidR="005C60AA">
        <w:t xml:space="preserve">These </w:t>
      </w:r>
      <w:r w:rsidR="00E211E0">
        <w:t>periods are likely to require a significant amo</w:t>
      </w:r>
      <w:r w:rsidR="003B7EC6">
        <w:t xml:space="preserve">unt of long duration flexibility, over hours or even days, assuming a lower level </w:t>
      </w:r>
      <w:r w:rsidR="008E62C5">
        <w:t>of renewable energy generation.</w:t>
      </w:r>
    </w:p>
    <w:p w14:paraId="39543B62" w14:textId="509FECC3" w:rsidR="00680F70" w:rsidRDefault="00680F70" w:rsidP="00680F70">
      <w:pPr>
        <w:pStyle w:val="Heading3"/>
      </w:pPr>
      <w:bookmarkStart w:id="50" w:name="_Toc135829973"/>
      <w:r>
        <w:t>High demand for transport</w:t>
      </w:r>
      <w:bookmarkEnd w:id="50"/>
    </w:p>
    <w:p w14:paraId="0D320BBC" w14:textId="77777777" w:rsidR="00992E79" w:rsidRPr="00066395" w:rsidRDefault="00992E79" w:rsidP="00992E79">
      <w:pPr>
        <w:spacing w:after="160" w:line="259" w:lineRule="auto"/>
        <w:jc w:val="left"/>
        <w:rPr>
          <w:rFonts w:cstheme="minorHAnsi"/>
        </w:rPr>
      </w:pPr>
      <w:r w:rsidRPr="00066395">
        <w:rPr>
          <w:rFonts w:cstheme="minorHAnsi"/>
        </w:rPr>
        <w:t xml:space="preserve">With high penetration of Electric Vehicles (EVs) due to growing needs for electrification of transport, there is a likely increase in EVs demand, particularly in the mornings and evenings. The EV demand spikes could impact electricity network at both national and distribution levels. </w:t>
      </w:r>
    </w:p>
    <w:p w14:paraId="53F8E118" w14:textId="77777777" w:rsidR="00992E79" w:rsidRPr="00066395" w:rsidRDefault="00992E79" w:rsidP="00992E79">
      <w:pPr>
        <w:spacing w:after="160" w:line="259" w:lineRule="auto"/>
        <w:jc w:val="left"/>
        <w:rPr>
          <w:rFonts w:cstheme="minorHAnsi"/>
        </w:rPr>
      </w:pPr>
      <w:r w:rsidRPr="00066395">
        <w:rPr>
          <w:rFonts w:cstheme="minorHAnsi"/>
        </w:rPr>
        <w:t>At the national level, the peak demand could occur during cloudy winter days with low wind production or loss of sunshine together with peak demand in the evening. At the distribution level, EV peak demand in individual areas could be uneven due to personal EVs penetration levels. Distribution network in certain areas might experience significant overloading, particularly during peak demand in the evenings.</w:t>
      </w:r>
    </w:p>
    <w:p w14:paraId="0DE03F99" w14:textId="77777777" w:rsidR="00992E79" w:rsidRPr="00923796" w:rsidRDefault="00992E79" w:rsidP="00992E79">
      <w:pPr>
        <w:spacing w:after="160" w:line="259" w:lineRule="auto"/>
        <w:jc w:val="left"/>
        <w:rPr>
          <w:rFonts w:cstheme="minorHAnsi"/>
        </w:rPr>
      </w:pPr>
      <w:r w:rsidRPr="00066395">
        <w:rPr>
          <w:rFonts w:cstheme="minorHAnsi"/>
        </w:rPr>
        <w:t>Potential national mitigation solutions could be utilising battery storage to harness the surplus of high solar generation during the day and discharge it during the evenings to smooth the output of traditional power generations. At the distribution level, battery storage can also be used to shave EV charging peaks. Other potential non-wire mitigations could be investment in smart power flow management devices, coordination/flexible with Distribution Energy Resources (DERs), limit charging rating, delay charging and increase distribution generation. The wire solutions such as upgrading transformer and feeder capacity and connection to higher voltage could help.</w:t>
      </w:r>
    </w:p>
    <w:p w14:paraId="2BF5BF6E" w14:textId="1D182A56" w:rsidR="00952681" w:rsidRDefault="00952681" w:rsidP="00952681">
      <w:pPr>
        <w:pStyle w:val="Heading3"/>
      </w:pPr>
      <w:bookmarkStart w:id="51" w:name="_Toc135829974"/>
      <w:r>
        <w:t>High embedded generation</w:t>
      </w:r>
      <w:r w:rsidR="00992E79">
        <w:t xml:space="preserve"> (solar PV)</w:t>
      </w:r>
      <w:bookmarkEnd w:id="51"/>
    </w:p>
    <w:p w14:paraId="005D3B4C" w14:textId="77777777" w:rsidR="00992E79" w:rsidRDefault="00992E79" w:rsidP="00992E79">
      <w:r>
        <w:t>High penetration of embedded generations/DERs might impact both distribution and transmission networks. The impact could be on losses, voltage profile, fault level and distribution transformer and feeder capacity. In a moderate to high DERs output, transmission lines could be lightly overloaded and that could increase voltage level at the transmission network. Combined with high wind and solar generation output connected to transmission network, it could cause generation surplus which could be absorbed by battery storage or exported through interconnectors.</w:t>
      </w:r>
    </w:p>
    <w:p w14:paraId="13B87981" w14:textId="2CCB592C" w:rsidR="00992E79" w:rsidRDefault="00992E79" w:rsidP="00992E79">
      <w:r>
        <w:t xml:space="preserve">Considering the </w:t>
      </w:r>
      <w:proofErr w:type="gramStart"/>
      <w:r>
        <w:t>worst case</w:t>
      </w:r>
      <w:proofErr w:type="gramEnd"/>
      <w:r>
        <w:t xml:space="preserve"> scenario, there could be a significant reverse power flow across distribution network</w:t>
      </w:r>
      <w:r w:rsidR="00DE4E89">
        <w:t>s</w:t>
      </w:r>
      <w:r>
        <w:t xml:space="preserve"> which requires both non-wire and wire solutions to manage flow and mitigate the impact on the system. Additionally, the embedded generation output could be uneven because of different levels of penetration across the network.</w:t>
      </w:r>
    </w:p>
    <w:p w14:paraId="2FDCCD31" w14:textId="46FEB7D8" w:rsidR="007C0A65" w:rsidRDefault="007C0A65" w:rsidP="007C0A65">
      <w:pPr>
        <w:pStyle w:val="Heading2"/>
      </w:pPr>
      <w:bookmarkStart w:id="52" w:name="_Toc135829975"/>
      <w:r>
        <w:t>Definition of use cases</w:t>
      </w:r>
      <w:bookmarkEnd w:id="52"/>
    </w:p>
    <w:p w14:paraId="4EECFB9B" w14:textId="481280F7" w:rsidR="00307D81" w:rsidRDefault="005638FF" w:rsidP="00B37E1B">
      <w:pPr>
        <w:spacing w:after="160" w:line="259" w:lineRule="auto"/>
        <w:jc w:val="left"/>
      </w:pPr>
      <w:r w:rsidRPr="465C89B4">
        <w:t xml:space="preserve">Building on the </w:t>
      </w:r>
      <w:r w:rsidR="4432BCC0" w:rsidRPr="54BFADF9">
        <w:t xml:space="preserve">stressed </w:t>
      </w:r>
      <w:r w:rsidR="4432BCC0" w:rsidRPr="3A183342">
        <w:t>situations mentioned above</w:t>
      </w:r>
      <w:r w:rsidR="00AE52F1">
        <w:t xml:space="preserve">, we will </w:t>
      </w:r>
      <w:r w:rsidR="00310313" w:rsidRPr="465C89B4">
        <w:t>consider</w:t>
      </w:r>
      <w:r w:rsidR="008C6690" w:rsidRPr="465C89B4">
        <w:t xml:space="preserve"> the priority use cases that were investigated in the ENA Open Networks Programme</w:t>
      </w:r>
      <w:r w:rsidR="737D49B9" w:rsidRPr="32BD80F8">
        <w:t>. The use cases that will be</w:t>
      </w:r>
      <w:r w:rsidR="737D49B9" w:rsidRPr="1EC90FC4">
        <w:t xml:space="preserve"> investigated in our </w:t>
      </w:r>
      <w:r w:rsidR="737D49B9" w:rsidRPr="2269BB52">
        <w:t>work include:</w:t>
      </w:r>
    </w:p>
    <w:p w14:paraId="45191F22" w14:textId="77777777" w:rsidR="00C510C8" w:rsidRPr="00C510C8" w:rsidRDefault="0014209A" w:rsidP="00C510C8">
      <w:pPr>
        <w:pStyle w:val="ListParagraph"/>
        <w:numPr>
          <w:ilvl w:val="1"/>
          <w:numId w:val="14"/>
        </w:numPr>
        <w:spacing w:after="160" w:line="259" w:lineRule="auto"/>
        <w:jc w:val="left"/>
        <w:rPr>
          <w:rFonts w:cstheme="minorHAnsi"/>
        </w:rPr>
      </w:pPr>
      <w:r>
        <w:t>STOR</w:t>
      </w:r>
      <w:r w:rsidR="006425A4">
        <w:t xml:space="preserve"> (ESO)</w:t>
      </w:r>
      <w:r>
        <w:t xml:space="preserve"> and </w:t>
      </w:r>
      <w:proofErr w:type="gramStart"/>
      <w:r>
        <w:t>generation-led</w:t>
      </w:r>
      <w:proofErr w:type="gramEnd"/>
      <w:r>
        <w:t xml:space="preserve"> ANM</w:t>
      </w:r>
      <w:r w:rsidR="006425A4">
        <w:t xml:space="preserve"> (DSO)</w:t>
      </w:r>
      <w:r>
        <w:t xml:space="preserve"> on different assets in the same are</w:t>
      </w:r>
      <w:r w:rsidR="00E55FDB">
        <w:t xml:space="preserve">a; </w:t>
      </w:r>
    </w:p>
    <w:p w14:paraId="297C23EC" w14:textId="77777777" w:rsidR="00C510C8" w:rsidRPr="00C510C8" w:rsidRDefault="006425A4" w:rsidP="00C510C8">
      <w:pPr>
        <w:pStyle w:val="ListParagraph"/>
        <w:numPr>
          <w:ilvl w:val="1"/>
          <w:numId w:val="14"/>
        </w:numPr>
        <w:spacing w:after="160" w:line="259" w:lineRule="auto"/>
        <w:jc w:val="left"/>
        <w:rPr>
          <w:rFonts w:cstheme="minorHAnsi"/>
        </w:rPr>
      </w:pPr>
      <w:r>
        <w:t>T</w:t>
      </w:r>
      <w:r w:rsidR="0014209A">
        <w:t xml:space="preserve">ransmission constraint management service </w:t>
      </w:r>
      <w:r>
        <w:t xml:space="preserve">(ESO) and DNO services (DSO) </w:t>
      </w:r>
      <w:r w:rsidR="0014209A">
        <w:t xml:space="preserve">on different assets in the same </w:t>
      </w:r>
      <w:proofErr w:type="gramStart"/>
      <w:r w:rsidR="0014209A">
        <w:t>area;</w:t>
      </w:r>
      <w:proofErr w:type="gramEnd"/>
      <w:r w:rsidR="00CF1DF0">
        <w:t xml:space="preserve"> </w:t>
      </w:r>
    </w:p>
    <w:p w14:paraId="0FA2E171" w14:textId="51CFBC6B" w:rsidR="008C6690" w:rsidRPr="00C510C8" w:rsidRDefault="0014209A" w:rsidP="00C510C8">
      <w:pPr>
        <w:pStyle w:val="ListParagraph"/>
        <w:numPr>
          <w:ilvl w:val="1"/>
          <w:numId w:val="14"/>
        </w:numPr>
        <w:spacing w:after="160" w:line="259" w:lineRule="auto"/>
        <w:jc w:val="left"/>
        <w:rPr>
          <w:rFonts w:cstheme="minorHAnsi"/>
        </w:rPr>
      </w:pPr>
      <w:r>
        <w:t xml:space="preserve">The BM and </w:t>
      </w:r>
      <w:proofErr w:type="gramStart"/>
      <w:r>
        <w:t>generation-led</w:t>
      </w:r>
      <w:proofErr w:type="gramEnd"/>
      <w:r>
        <w:t xml:space="preserve"> ANM on different assets in the same area</w:t>
      </w:r>
      <w:r w:rsidR="00786800">
        <w:t>;</w:t>
      </w:r>
      <w:r w:rsidR="0030753B">
        <w:t xml:space="preserve"> </w:t>
      </w:r>
    </w:p>
    <w:p w14:paraId="70045474" w14:textId="71F9921B" w:rsidR="00310313" w:rsidRPr="00310313" w:rsidRDefault="005A3008" w:rsidP="00390E22">
      <w:pPr>
        <w:spacing w:after="160" w:line="259" w:lineRule="auto"/>
        <w:jc w:val="left"/>
        <w:rPr>
          <w:rFonts w:cstheme="minorHAnsi"/>
        </w:rPr>
      </w:pPr>
      <w:r>
        <w:rPr>
          <w:rFonts w:cstheme="minorHAnsi"/>
        </w:rPr>
        <w:lastRenderedPageBreak/>
        <w:t>Given the increase of intermittent renewable generation and thus the importance of the capacity market, w</w:t>
      </w:r>
      <w:r w:rsidR="00310313">
        <w:rPr>
          <w:rFonts w:cstheme="minorHAnsi"/>
        </w:rPr>
        <w:t>e will</w:t>
      </w:r>
      <w:r>
        <w:rPr>
          <w:rFonts w:cstheme="minorHAnsi"/>
        </w:rPr>
        <w:t xml:space="preserve"> also</w:t>
      </w:r>
      <w:r w:rsidR="00310313">
        <w:rPr>
          <w:rFonts w:cstheme="minorHAnsi"/>
        </w:rPr>
        <w:t xml:space="preserve"> </w:t>
      </w:r>
      <w:proofErr w:type="gramStart"/>
      <w:r w:rsidR="00310313">
        <w:rPr>
          <w:rFonts w:cstheme="minorHAnsi"/>
        </w:rPr>
        <w:t>consider</w:t>
      </w:r>
      <w:proofErr w:type="gramEnd"/>
    </w:p>
    <w:p w14:paraId="2D757AE4" w14:textId="07483F96" w:rsidR="00786800" w:rsidRPr="00C510C8" w:rsidRDefault="00786800" w:rsidP="00C510C8">
      <w:pPr>
        <w:pStyle w:val="ListParagraph"/>
        <w:numPr>
          <w:ilvl w:val="1"/>
          <w:numId w:val="14"/>
        </w:numPr>
        <w:spacing w:after="160" w:line="259" w:lineRule="auto"/>
        <w:jc w:val="left"/>
        <w:rPr>
          <w:rFonts w:cstheme="minorHAnsi"/>
        </w:rPr>
      </w:pPr>
      <w:r>
        <w:t>Capacity Marke</w:t>
      </w:r>
      <w:r w:rsidR="00FC6177">
        <w:t xml:space="preserve">t and </w:t>
      </w:r>
      <w:proofErr w:type="gramStart"/>
      <w:r w:rsidR="00FC6177">
        <w:t>generation-led</w:t>
      </w:r>
      <w:proofErr w:type="gramEnd"/>
      <w:r w:rsidR="00FC6177">
        <w:t xml:space="preserve"> ANM</w:t>
      </w:r>
      <w:r w:rsidR="006425A4">
        <w:t xml:space="preserve"> </w:t>
      </w:r>
      <w:r w:rsidR="001C2E9D">
        <w:t>on different assets in the same area</w:t>
      </w:r>
    </w:p>
    <w:p w14:paraId="3457C65A" w14:textId="143FD4D6" w:rsidR="3E2E00F6" w:rsidRDefault="669A6A8A" w:rsidP="591ECCCB">
      <w:pPr>
        <w:spacing w:after="160" w:line="259" w:lineRule="auto"/>
        <w:jc w:val="left"/>
      </w:pPr>
      <w:r w:rsidRPr="715F83CB">
        <w:t xml:space="preserve">During Workstream 3 we will be assessing the impact of Scheme 1 and Scheme 2 in specific use cases, under a specific stressed situation. This will provide both the local and the national impact of each coordination Scheme. </w:t>
      </w:r>
      <w:r w:rsidR="3E2E00F6" w:rsidRPr="5A29BEE2">
        <w:t>We</w:t>
      </w:r>
      <w:r w:rsidR="3E2E00F6" w:rsidRPr="591ECCCB">
        <w:t xml:space="preserve"> will utilise a network model with two </w:t>
      </w:r>
      <w:r w:rsidR="00D12FF6">
        <w:t>Distribution</w:t>
      </w:r>
      <w:r w:rsidR="3E2E00F6" w:rsidRPr="591ECCCB">
        <w:t xml:space="preserve"> substations</w:t>
      </w:r>
      <w:r w:rsidR="00D12FF6">
        <w:t xml:space="preserve"> (DS) and three </w:t>
      </w:r>
      <w:r w:rsidR="3E2E00F6" w:rsidRPr="591ECCCB">
        <w:t>Transmission substations</w:t>
      </w:r>
      <w:r w:rsidR="00D12FF6">
        <w:t xml:space="preserve"> (TS), including a Grid Supply Point (GSP).</w:t>
      </w:r>
      <w:r w:rsidR="00562DC5">
        <w:t xml:space="preserve"> We will identify the key </w:t>
      </w:r>
      <w:r w:rsidR="00DB4767">
        <w:t>player</w:t>
      </w:r>
      <w:r w:rsidR="00505F80">
        <w:t xml:space="preserve">s and </w:t>
      </w:r>
      <w:r w:rsidR="00B67C17">
        <w:t>required information exchanges</w:t>
      </w:r>
      <w:r w:rsidR="00CD7ADB">
        <w:t xml:space="preserve"> across the </w:t>
      </w:r>
      <w:r w:rsidR="009F4AF1">
        <w:t>roles and responsibilities</w:t>
      </w:r>
      <w:r w:rsidR="00CD7ADB">
        <w:t xml:space="preserve"> of the access to DFR (Qualification, Procurement, Dispatch, Settlement and Compliance</w:t>
      </w:r>
      <w:r w:rsidR="00553982">
        <w:t>, as shown in Workstream 1 report Section 6.2.2.</w:t>
      </w:r>
      <w:r w:rsidR="00CD7ADB">
        <w:t>)</w:t>
      </w:r>
      <w:r w:rsidR="00B67C17">
        <w:t>,</w:t>
      </w:r>
      <w:r w:rsidR="009F4AF1">
        <w:t xml:space="preserve"> </w:t>
      </w:r>
      <w:r w:rsidR="00553982">
        <w:t>verify information exchanges (as shown above) and spe</w:t>
      </w:r>
      <w:r w:rsidR="00B67C17">
        <w:t>cify</w:t>
      </w:r>
      <w:r w:rsidR="00562DC5">
        <w:t xml:space="preserve"> </w:t>
      </w:r>
      <w:r w:rsidR="00B67C17">
        <w:t>the mai</w:t>
      </w:r>
      <w:r w:rsidR="009F4AF1">
        <w:t xml:space="preserve">n </w:t>
      </w:r>
      <w:r w:rsidR="00CD7ADB">
        <w:t>technical</w:t>
      </w:r>
      <w:r w:rsidR="00B67C17">
        <w:t xml:space="preserve"> variables to serve as an example (</w:t>
      </w:r>
      <w:r w:rsidR="003D3BFA">
        <w:t xml:space="preserve">e.g. </w:t>
      </w:r>
      <w:r w:rsidR="00B67C17">
        <w:t xml:space="preserve">active power, type </w:t>
      </w:r>
      <w:r w:rsidR="00272E44">
        <w:t xml:space="preserve">of </w:t>
      </w:r>
      <w:r w:rsidR="00B67C17">
        <w:t>constra</w:t>
      </w:r>
      <w:r w:rsidR="00272E44">
        <w:t xml:space="preserve">int, </w:t>
      </w:r>
      <w:r w:rsidR="004E1ACE">
        <w:t>indicative</w:t>
      </w:r>
      <w:r w:rsidR="00272E44">
        <w:t xml:space="preserve"> pric</w:t>
      </w:r>
      <w:r w:rsidR="003D3BFA">
        <w:t>es</w:t>
      </w:r>
      <w:r w:rsidR="00A56E7B">
        <w:t>)</w:t>
      </w:r>
      <w:r w:rsidR="00151144">
        <w:t xml:space="preserve">. </w:t>
      </w:r>
    </w:p>
    <w:p w14:paraId="728ACC28" w14:textId="77777777" w:rsidR="591ECCCB" w:rsidRDefault="591ECCCB" w:rsidP="591ECCCB">
      <w:pPr>
        <w:spacing w:after="160" w:line="259" w:lineRule="auto"/>
        <w:jc w:val="left"/>
      </w:pPr>
    </w:p>
    <w:p w14:paraId="7F6A217D" w14:textId="1D666C22" w:rsidR="3E2E00F6" w:rsidRDefault="3E2E00F6" w:rsidP="591ECCCB">
      <w:pPr>
        <w:spacing w:after="160" w:line="259" w:lineRule="auto"/>
        <w:jc w:val="center"/>
      </w:pPr>
      <w:r>
        <w:rPr>
          <w:noProof/>
        </w:rPr>
        <w:drawing>
          <wp:inline distT="0" distB="0" distL="0" distR="0" wp14:anchorId="493003C8" wp14:editId="54992EAF">
            <wp:extent cx="2509284" cy="2398918"/>
            <wp:effectExtent l="0" t="0" r="5715" b="1905"/>
            <wp:docPr id="2123767492" name="Picture 2123767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32">
                      <a:extLst>
                        <a:ext uri="{28A0092B-C50C-407E-A947-70E740481C1C}">
                          <a14:useLocalDpi xmlns:a14="http://schemas.microsoft.com/office/drawing/2010/main" val="0"/>
                        </a:ext>
                      </a:extLst>
                    </a:blip>
                    <a:stretch>
                      <a:fillRect/>
                    </a:stretch>
                  </pic:blipFill>
                  <pic:spPr bwMode="auto">
                    <a:xfrm>
                      <a:off x="0" y="0"/>
                      <a:ext cx="2509284" cy="2398918"/>
                    </a:xfrm>
                    <a:prstGeom prst="rect">
                      <a:avLst/>
                    </a:prstGeom>
                    <a:noFill/>
                  </pic:spPr>
                </pic:pic>
              </a:graphicData>
            </a:graphic>
          </wp:inline>
        </w:drawing>
      </w:r>
    </w:p>
    <w:p w14:paraId="4528ED85" w14:textId="7D21A591" w:rsidR="6D546BB0" w:rsidRDefault="6B74CDC7" w:rsidP="6D546BB0">
      <w:pPr>
        <w:spacing w:after="160" w:line="259" w:lineRule="auto"/>
        <w:jc w:val="center"/>
      </w:pPr>
      <w:r>
        <w:t>Figure 33: Illustrative Network Model</w:t>
      </w:r>
    </w:p>
    <w:p w14:paraId="086F594B" w14:textId="69377558" w:rsidR="00E91734" w:rsidRDefault="00E91734">
      <w:pPr>
        <w:jc w:val="left"/>
        <w:rPr>
          <w:rFonts w:asciiTheme="majorHAnsi" w:eastAsiaTheme="majorEastAsia" w:hAnsiTheme="majorHAnsi" w:cstheme="majorBidi"/>
          <w:b/>
          <w:bCs/>
          <w:color w:val="365F91" w:themeColor="accent1" w:themeShade="BF"/>
          <w:sz w:val="52"/>
          <w:szCs w:val="52"/>
        </w:rPr>
      </w:pPr>
    </w:p>
    <w:p w14:paraId="7BF8CC8C" w14:textId="696CA7D4" w:rsidR="003059AB" w:rsidRPr="0056306A" w:rsidRDefault="003059AB" w:rsidP="00903EB8">
      <w:pPr>
        <w:pStyle w:val="Heading1"/>
        <w:rPr>
          <w:lang w:val="en-GB"/>
        </w:rPr>
      </w:pPr>
      <w:bookmarkStart w:id="53" w:name="_Toc135829976"/>
      <w:r w:rsidRPr="0BAF9C11">
        <w:rPr>
          <w:lang w:val="en-GB"/>
        </w:rPr>
        <w:t>Conclusions</w:t>
      </w:r>
      <w:bookmarkEnd w:id="53"/>
      <w:r w:rsidRPr="0BAF9C11">
        <w:rPr>
          <w:lang w:val="en-GB"/>
        </w:rPr>
        <w:t xml:space="preserve"> </w:t>
      </w:r>
    </w:p>
    <w:p w14:paraId="0FF7F8BA" w14:textId="43A835DD" w:rsidR="00894A64" w:rsidRPr="0056306A" w:rsidRDefault="00894A64" w:rsidP="00903EB8"/>
    <w:p w14:paraId="2095BEBB" w14:textId="690B883C" w:rsidR="0094032D" w:rsidRDefault="00F93DD9" w:rsidP="00903EB8">
      <w:r w:rsidRPr="0056306A">
        <w:t xml:space="preserve">A range of case studies has been analysed to </w:t>
      </w:r>
      <w:r>
        <w:t>analyse the techno-economic performance of different ESO-DSO coordination approaches,</w:t>
      </w:r>
      <w:r w:rsidRPr="0056306A">
        <w:t xml:space="preserve"> focusing on the 2050 net zero-emission system</w:t>
      </w:r>
      <w:r>
        <w:t xml:space="preserve"> to ensure the effectiveness of the approaches on future sustainable energy systems</w:t>
      </w:r>
      <w:r w:rsidRPr="0056306A">
        <w:t>.</w:t>
      </w:r>
      <w:r>
        <w:t xml:space="preserve"> Flexibility from all technologies, including </w:t>
      </w:r>
      <w:r>
        <w:rPr>
          <w:szCs w:val="20"/>
        </w:rPr>
        <w:t xml:space="preserve">sector-coupling </w:t>
      </w:r>
      <w:r>
        <w:t>flexibility</w:t>
      </w:r>
      <w:r>
        <w:rPr>
          <w:szCs w:val="20"/>
        </w:rPr>
        <w:t xml:space="preserve"> in electricity, </w:t>
      </w:r>
      <w:proofErr w:type="gramStart"/>
      <w:r>
        <w:rPr>
          <w:szCs w:val="20"/>
        </w:rPr>
        <w:t>gas</w:t>
      </w:r>
      <w:proofErr w:type="gramEnd"/>
      <w:r>
        <w:rPr>
          <w:szCs w:val="20"/>
        </w:rPr>
        <w:t xml:space="preserve"> and heating/cooling systems, has been considered. </w:t>
      </w:r>
      <w:r w:rsidR="00FC64FB" w:rsidRPr="0056306A">
        <w:t>The key findings can be summarized as follows:</w:t>
      </w:r>
    </w:p>
    <w:p w14:paraId="16CE38B4" w14:textId="77777777" w:rsidR="008E092A" w:rsidRDefault="008E092A" w:rsidP="008E092A">
      <w:pPr>
        <w:rPr>
          <w:b/>
          <w:bCs/>
        </w:rPr>
      </w:pPr>
      <w:r w:rsidRPr="00FF5438">
        <w:rPr>
          <w:b/>
          <w:bCs/>
        </w:rPr>
        <w:t xml:space="preserve">Distributed flexibility should be facilitated to minimise the system </w:t>
      </w:r>
      <w:proofErr w:type="gramStart"/>
      <w:r w:rsidRPr="00FF5438">
        <w:rPr>
          <w:b/>
          <w:bCs/>
        </w:rPr>
        <w:t>costs</w:t>
      </w:r>
      <w:proofErr w:type="gramEnd"/>
    </w:p>
    <w:p w14:paraId="00621821" w14:textId="77777777" w:rsidR="008E092A" w:rsidRPr="009E596A" w:rsidRDefault="008E092A" w:rsidP="008E092A">
      <w:pPr>
        <w:pStyle w:val="BulletPoint1"/>
        <w:rPr>
          <w:i/>
          <w:iCs/>
        </w:rPr>
      </w:pPr>
      <w:r>
        <w:lastRenderedPageBreak/>
        <w:t xml:space="preserve">Harnessing and utilising distributed flexibility resources saves the annual system costs between 7.4- 7.8 £bn/year in H2 and 9-11.3 £bn/year in ELEC. </w:t>
      </w:r>
    </w:p>
    <w:p w14:paraId="4E444915" w14:textId="77777777" w:rsidR="008E092A" w:rsidRDefault="008E092A" w:rsidP="008E092A">
      <w:pPr>
        <w:pStyle w:val="BulletPoint1"/>
      </w:pPr>
      <w:r>
        <w:t>Electrification is one of the major drivers for utilising distributed flexibility resources. Therefore, the benefits of distributed flexibility are higher in deep electrification. Therefore, it requires a more holistic approach to coordinating distributed flexibility resources. It is worth noting that electrification occurs in both hydrogen and deep electrification pathways in different magnitudes; hence, deploying distributed flexibility resources is relevant in both scenarios.</w:t>
      </w:r>
    </w:p>
    <w:p w14:paraId="2CB49315" w14:textId="77777777" w:rsidR="008E092A" w:rsidRDefault="008E092A" w:rsidP="008E092A">
      <w:pPr>
        <w:pStyle w:val="BulletPoint1"/>
        <w:rPr>
          <w:b/>
          <w:bCs/>
        </w:rPr>
      </w:pPr>
      <w:r>
        <w:t>The savings can be achieved if there is some investment in flexibility sources such as heat storage, electricity storage, and demand response technologies. Given the cost assumptions used in the study, the cost of procuring and utilising distributed flexibility is much lower than its benefits.</w:t>
      </w:r>
    </w:p>
    <w:p w14:paraId="267B566F" w14:textId="77777777" w:rsidR="008E092A" w:rsidRDefault="008E092A" w:rsidP="008E092A">
      <w:pPr>
        <w:pStyle w:val="BulletPoint1"/>
      </w:pPr>
      <w:r>
        <w:t xml:space="preserve">The main savings attributed to distributed flexibility are in the mitigation cost of investment in low-carbon power generation and distribution networks. Customers' flexibility also reduces end-users' appliance costs, such as heat pumps. Heat storage can reduce the size of heat pumps needed. Moreover, the savings happen not only in the electricity sector but also in other system costs, such as the reduced investment needed in electrolysers and hydrogen storage. </w:t>
      </w:r>
    </w:p>
    <w:p w14:paraId="64AFB6F0" w14:textId="77777777" w:rsidR="008E092A" w:rsidRDefault="008E092A" w:rsidP="008E092A">
      <w:pPr>
        <w:pStyle w:val="BulletPoint1"/>
        <w:numPr>
          <w:ilvl w:val="0"/>
          <w:numId w:val="0"/>
        </w:numPr>
      </w:pPr>
    </w:p>
    <w:p w14:paraId="440A147E" w14:textId="77777777" w:rsidR="008E092A" w:rsidRDefault="008E092A" w:rsidP="008E092A">
      <w:pPr>
        <w:rPr>
          <w:b/>
          <w:bCs/>
        </w:rPr>
      </w:pPr>
      <w:r w:rsidRPr="00620188">
        <w:rPr>
          <w:b/>
          <w:bCs/>
        </w:rPr>
        <w:t>Benefits of improving ESO – DSO coordination schemes</w:t>
      </w:r>
    </w:p>
    <w:p w14:paraId="2A20E8EA" w14:textId="7515A3E1" w:rsidR="008E092A" w:rsidRDefault="008E092A" w:rsidP="008E092A">
      <w:pPr>
        <w:pStyle w:val="BulletPoint1"/>
      </w:pPr>
      <w:r>
        <w:t xml:space="preserve">Improving the ESO-DSO coordination approach from the BaU to </w:t>
      </w:r>
      <w:proofErr w:type="gramStart"/>
      <w:r>
        <w:t>Scheme</w:t>
      </w:r>
      <w:proofErr w:type="gramEnd"/>
      <w:r>
        <w:t xml:space="preserve"> 1 and 2 will reduce the cost of the future system by 0.3 – 0.9 £bn/year in the hydrogen scenario and 1.1 – 4.3 £bn/year in the deep electrification scenario. If the future system is moving towards full electrification of heat and transport, the case for improving ESO-DSO coordination would be stronger than the one with hydrogen heating. The performance of Scheme 1 and 2 would be relatively similar if all the coordination processes could be carried out smoothly. However, Scheme 1 may pose a higher risk for suboptimal conditions such as a lack of ESO's ability to incorporate small-scale DFR providers to its control centre, exposure of stricter primacy rules to DSOs to provide sufficient headroom to deal with uncertainty in the provision of services and network capacity, higher cost of DFRs and lower number of service providers due to lack of market competition and transparency. These suboptimality conditions may increase the system costs by up to £4.28bn/year. Therefore, Scheme 2 could be an option to derisk these conditions.</w:t>
      </w:r>
    </w:p>
    <w:p w14:paraId="4B940FB5" w14:textId="77777777" w:rsidR="00F93DD9" w:rsidRDefault="00F93DD9" w:rsidP="00F93DD9">
      <w:pPr>
        <w:pStyle w:val="BulletPoint1"/>
      </w:pPr>
      <w:r>
        <w:t>While the cost of improving the coordination has not been considered, the cost is likely to be lower than the benefits. Further detailed studies are recommended to understand what needs to be provided to enable such coordination and the associated costs.</w:t>
      </w:r>
    </w:p>
    <w:p w14:paraId="0A2B5D29" w14:textId="77777777" w:rsidR="008E092A" w:rsidRDefault="008E092A" w:rsidP="008E092A">
      <w:pPr>
        <w:pStyle w:val="BulletPoint1"/>
      </w:pPr>
      <w:r>
        <w:t>Different coordination schemes will affect the energy system's investment and operational costs. The impacts are beyond the electrical transmission and distribution systems; therefore, it is crucial to decide carefully as it has long-term effects.</w:t>
      </w:r>
    </w:p>
    <w:p w14:paraId="21D7D2BE" w14:textId="45F11AE7" w:rsidR="008E092A" w:rsidRDefault="008E092A" w:rsidP="008E092A">
      <w:pPr>
        <w:pStyle w:val="BulletPoint1"/>
      </w:pPr>
      <w:r>
        <w:t xml:space="preserve">The benefits of Schemes 1 and 2 are also higher in the FES 2022 "System Transformation" scenario (note: the core scenario used in the study is based on "Leading the Way"), which has a higher energy demand and without demand response. Without demand response, the amount of electricity storage needed in the system to provide flexibility increases </w:t>
      </w:r>
      <w:r>
        <w:lastRenderedPageBreak/>
        <w:t xml:space="preserve">substantially, and most of them will be located at distribution as it can also be used to manage distribution network constraints. Hence, this increased distributed electricity storage will also increase ESO and DSO's operational challenges; therefore, stronger coordination will be needed. </w:t>
      </w:r>
    </w:p>
    <w:p w14:paraId="6FBC90CC" w14:textId="77777777" w:rsidR="008E092A" w:rsidRDefault="008E092A" w:rsidP="008E092A">
      <w:pPr>
        <w:pStyle w:val="BulletPoint1"/>
      </w:pPr>
      <w:r>
        <w:t>Other conditions, such as the lower cost of wind, may also increase the need for coordination but not always occur in all cases we simulated. As the wind is already very dominant in the core scenarios, increasing slightly more wind due to its lower cost will not affect the system performance so much and the need for flexibility.</w:t>
      </w:r>
    </w:p>
    <w:p w14:paraId="300BD0C8" w14:textId="77777777" w:rsidR="008E092A" w:rsidRDefault="008E092A" w:rsidP="008E092A">
      <w:pPr>
        <w:pStyle w:val="BulletPoint1"/>
      </w:pPr>
      <w:r>
        <w:t>Higher distributed flexibility costs may slightly reduce the case for improving coordination, but the impact is marginal, and the savings are still positive.</w:t>
      </w:r>
    </w:p>
    <w:p w14:paraId="07788B7E" w14:textId="50554712" w:rsidR="008E092A" w:rsidRDefault="008E092A" w:rsidP="008E092A">
      <w:r>
        <w:t xml:space="preserve">The studies also demonstrate that DFRs will be distributed across the GB system. Higher penetration of electricity storage can occur in the Northern GB due to </w:t>
      </w:r>
      <w:proofErr w:type="gramStart"/>
      <w:r>
        <w:t>high capacity</w:t>
      </w:r>
      <w:proofErr w:type="gramEnd"/>
      <w:r>
        <w:t xml:space="preserve"> factors of offshore wind in those areas but in general, both energy storage and demand response technologies will be spread across the GB. Therefore, ESO – DSO coordination will be required across the GB system.</w:t>
      </w:r>
    </w:p>
    <w:p w14:paraId="49E26296" w14:textId="3C692C9D" w:rsidR="00560E4A" w:rsidRPr="0056306A" w:rsidRDefault="00217E61" w:rsidP="00903EB8">
      <w:pPr>
        <w:pStyle w:val="Heading2"/>
      </w:pPr>
      <w:bookmarkStart w:id="54" w:name="_Toc135829977"/>
      <w:r>
        <w:t>Next steps</w:t>
      </w:r>
      <w:bookmarkEnd w:id="54"/>
    </w:p>
    <w:p w14:paraId="7F9FE0C9" w14:textId="5D28F308" w:rsidR="00B237E4" w:rsidRDefault="00E12F07" w:rsidP="00B237E4">
      <w:r>
        <w:t>I</w:t>
      </w:r>
      <w:r w:rsidR="00B237E4">
        <w:t>n Workstream 3</w:t>
      </w:r>
      <w:r>
        <w:t>, we will</w:t>
      </w:r>
      <w:r w:rsidR="00B237E4">
        <w:t xml:space="preserve"> run a qualitative and </w:t>
      </w:r>
      <w:proofErr w:type="spellStart"/>
      <w:r w:rsidR="00B237E4">
        <w:t>quantative</w:t>
      </w:r>
      <w:proofErr w:type="spellEnd"/>
      <w:r w:rsidR="00A54B1B">
        <w:t xml:space="preserve"> impact</w:t>
      </w:r>
      <w:r w:rsidR="00B237E4">
        <w:t xml:space="preserve"> assessment of Schemes 1 and 2 performances in stressed situations for the network, namely:</w:t>
      </w:r>
    </w:p>
    <w:p w14:paraId="1F7D3822" w14:textId="7F26F8DF" w:rsidR="00882609" w:rsidRDefault="00B237E4" w:rsidP="00B237E4">
      <w:pPr>
        <w:pStyle w:val="ListParagraph"/>
        <w:numPr>
          <w:ilvl w:val="0"/>
          <w:numId w:val="21"/>
        </w:numPr>
      </w:pPr>
      <w:r w:rsidRPr="00C73317">
        <w:t xml:space="preserve">Develop a </w:t>
      </w:r>
      <w:proofErr w:type="gramStart"/>
      <w:r w:rsidRPr="00C73317">
        <w:t>wide-ranging criteria</w:t>
      </w:r>
      <w:proofErr w:type="gramEnd"/>
      <w:r w:rsidRPr="00C73317">
        <w:t xml:space="preserve"> to underpi</w:t>
      </w:r>
      <w:r w:rsidR="00A54B1B">
        <w:t xml:space="preserve">n the qualitative impact assessment. </w:t>
      </w:r>
      <w:r w:rsidR="009E0B51">
        <w:t>T</w:t>
      </w:r>
      <w:r w:rsidR="00A54B1B">
        <w:t>h</w:t>
      </w:r>
      <w:r w:rsidRPr="00C73317">
        <w:t>e criteria may cover the strategic case, commercial case, financial case, etc. including aspects such as customer experience, market viability sustainability, environmental sustainability, regulatory frameworks, industry structure and organisation, etc.</w:t>
      </w:r>
    </w:p>
    <w:p w14:paraId="337F8D63" w14:textId="538080B6" w:rsidR="00B237E4" w:rsidRDefault="00882609" w:rsidP="00B237E4">
      <w:pPr>
        <w:pStyle w:val="ListParagraph"/>
        <w:numPr>
          <w:ilvl w:val="0"/>
          <w:numId w:val="21"/>
        </w:numPr>
      </w:pPr>
      <w:r>
        <w:t>Execute</w:t>
      </w:r>
      <w:r w:rsidRPr="00C73317">
        <w:t xml:space="preserve"> the qualitative impact assessment</w:t>
      </w:r>
      <w:r>
        <w:t xml:space="preserve"> and</w:t>
      </w:r>
      <w:r w:rsidR="00B237E4">
        <w:t xml:space="preserve"> c</w:t>
      </w:r>
      <w:r w:rsidR="00B237E4" w:rsidRPr="00C73317">
        <w:t xml:space="preserve">onduct stakeholder engagement activities within the ESO to support with scoring across the </w:t>
      </w:r>
      <w:proofErr w:type="gramStart"/>
      <w:r w:rsidR="00B237E4" w:rsidRPr="00C73317">
        <w:t>criteria</w:t>
      </w:r>
      <w:r w:rsidR="00B237E4">
        <w:t>;</w:t>
      </w:r>
      <w:proofErr w:type="gramEnd"/>
    </w:p>
    <w:p w14:paraId="3F5FD27A" w14:textId="77777777" w:rsidR="00B237E4" w:rsidRDefault="00B237E4" w:rsidP="00B237E4">
      <w:pPr>
        <w:pStyle w:val="ListParagraph"/>
        <w:numPr>
          <w:ilvl w:val="0"/>
          <w:numId w:val="21"/>
        </w:numPr>
      </w:pPr>
      <w:r w:rsidRPr="00C73317">
        <w:t xml:space="preserve">Enhance the current whole electricity system model to represent the developed ESO/DSO coordination schemes at planning </w:t>
      </w:r>
      <w:proofErr w:type="gramStart"/>
      <w:r w:rsidRPr="00C73317">
        <w:t>timescales</w:t>
      </w:r>
      <w:r>
        <w:t>;</w:t>
      </w:r>
      <w:proofErr w:type="gramEnd"/>
    </w:p>
    <w:p w14:paraId="5A1A5F0C" w14:textId="77777777" w:rsidR="00B237E4" w:rsidRDefault="00B237E4" w:rsidP="00B237E4">
      <w:pPr>
        <w:pStyle w:val="ListParagraph"/>
        <w:numPr>
          <w:ilvl w:val="0"/>
          <w:numId w:val="21"/>
        </w:numPr>
      </w:pPr>
      <w:r w:rsidRPr="0049313E">
        <w:t xml:space="preserve">Quantitative assessment (i.e. economic case criterion) of the relative costs and benefits for the impact assessment. Application of the model to quantify and assess the different ESO/DSO coordination schemes against the costs incurred from investing in traditional electricity infrastructure and balancing the whole electricity system and the benefits brough by flexibility energy </w:t>
      </w:r>
      <w:proofErr w:type="gramStart"/>
      <w:r w:rsidRPr="0049313E">
        <w:t>resources</w:t>
      </w:r>
      <w:r>
        <w:t>;</w:t>
      </w:r>
      <w:proofErr w:type="gramEnd"/>
    </w:p>
    <w:p w14:paraId="40BD2933" w14:textId="77777777" w:rsidR="00B237E4" w:rsidRDefault="00B237E4" w:rsidP="00B237E4">
      <w:pPr>
        <w:pStyle w:val="ListParagraph"/>
        <w:numPr>
          <w:ilvl w:val="0"/>
          <w:numId w:val="21"/>
        </w:numPr>
      </w:pPr>
      <w:r w:rsidRPr="003C0394">
        <w:t>Combine the quantitative and qualitative assessments to form the overall impact assessment. Select the preferred ESO/DSO coordination scheme for roadmap development.</w:t>
      </w:r>
    </w:p>
    <w:p w14:paraId="239E2F11" w14:textId="0680617E" w:rsidR="00894A64" w:rsidRPr="0056306A" w:rsidRDefault="00894A64" w:rsidP="00903EB8"/>
    <w:p w14:paraId="1D0007CF" w14:textId="7A2FBDA2" w:rsidR="001913F6" w:rsidRPr="0056306A" w:rsidRDefault="001913F6" w:rsidP="00903EB8"/>
    <w:p w14:paraId="43BCB937" w14:textId="120923BA" w:rsidR="00180CC7" w:rsidRPr="002A7CB7" w:rsidRDefault="00180CC7" w:rsidP="002A7CB7">
      <w:pPr>
        <w:pStyle w:val="Bodytext1"/>
        <w:rPr>
          <w:lang w:val="en-US"/>
        </w:rPr>
      </w:pPr>
      <w:bookmarkStart w:id="55" w:name="_Ref76115650"/>
      <w:r w:rsidRPr="0056306A">
        <w:br w:type="page"/>
      </w:r>
    </w:p>
    <w:p w14:paraId="0628C8BD" w14:textId="254FAF0C" w:rsidR="00894A64" w:rsidRPr="0056306A" w:rsidRDefault="001913F6" w:rsidP="00CF17A5">
      <w:pPr>
        <w:pStyle w:val="Appendix1"/>
        <w:numPr>
          <w:ilvl w:val="0"/>
          <w:numId w:val="8"/>
        </w:numPr>
        <w:rPr>
          <w:lang w:val="en-GB"/>
        </w:rPr>
      </w:pPr>
      <w:bookmarkStart w:id="56" w:name="_Toc135829978"/>
      <w:r w:rsidRPr="0056306A">
        <w:rPr>
          <w:lang w:val="en-GB"/>
        </w:rPr>
        <w:lastRenderedPageBreak/>
        <w:t>Energy system background</w:t>
      </w:r>
      <w:bookmarkEnd w:id="55"/>
      <w:r w:rsidR="00296E20" w:rsidRPr="0056306A">
        <w:rPr>
          <w:lang w:val="en-GB"/>
        </w:rPr>
        <w:t xml:space="preserve"> and key assumptions</w:t>
      </w:r>
      <w:bookmarkEnd w:id="56"/>
    </w:p>
    <w:p w14:paraId="5AF7A5CD" w14:textId="77777777" w:rsidR="00180CC7" w:rsidRPr="0056306A" w:rsidRDefault="00180CC7" w:rsidP="00903EB8"/>
    <w:p w14:paraId="14B556CE" w14:textId="77777777" w:rsidR="009049C6" w:rsidRDefault="009049C6" w:rsidP="009049C6">
      <w:r>
        <w:t>The data below are intended for the 2050 system studies. Most of the data are taken from established studies, including:</w:t>
      </w:r>
    </w:p>
    <w:p w14:paraId="0BCFC873" w14:textId="13445C7A" w:rsidR="009049C6" w:rsidRPr="0056306A" w:rsidRDefault="009049C6" w:rsidP="009049C6">
      <w:pPr>
        <w:pStyle w:val="ListParagraph"/>
        <w:numPr>
          <w:ilvl w:val="0"/>
          <w:numId w:val="11"/>
        </w:numPr>
        <w:jc w:val="left"/>
      </w:pPr>
      <w:r w:rsidRPr="0056306A">
        <w:t xml:space="preserve">CCC studies (2018) – </w:t>
      </w:r>
      <w:r w:rsidR="0007436A">
        <w:t>"</w:t>
      </w:r>
      <w:r w:rsidRPr="0056306A">
        <w:t>Analysis of Alternative UK Heat Decarbonisation Pathways</w:t>
      </w:r>
      <w:r w:rsidR="0007436A">
        <w:t>"</w:t>
      </w:r>
      <w:r w:rsidRPr="0056306A">
        <w:t xml:space="preserve">, available at: </w:t>
      </w:r>
      <w:hyperlink r:id="rId33" w:history="1">
        <w:r w:rsidRPr="0056306A">
          <w:rPr>
            <w:rStyle w:val="Hyperlink"/>
          </w:rPr>
          <w:t>https://www.theccc.org.uk/wp-content/uploads/2018/06/Imperial-College-2018-Analysis-of-Alternative-UK-Heat-Decarbonisation-Pathways.pdf</w:t>
        </w:r>
      </w:hyperlink>
    </w:p>
    <w:p w14:paraId="3D498C50" w14:textId="77777777" w:rsidR="009049C6" w:rsidRPr="000B4430" w:rsidRDefault="009049C6" w:rsidP="009049C6">
      <w:pPr>
        <w:pStyle w:val="ListParagraph"/>
        <w:numPr>
          <w:ilvl w:val="0"/>
          <w:numId w:val="11"/>
        </w:numPr>
        <w:jc w:val="left"/>
        <w:rPr>
          <w:rStyle w:val="Hyperlink"/>
          <w:color w:val="auto"/>
          <w:u w:val="none"/>
        </w:rPr>
      </w:pPr>
      <w:r w:rsidRPr="0056306A">
        <w:t xml:space="preserve">Carbon Trust (2021) – Flexibility in GB, available at: </w:t>
      </w:r>
      <w:hyperlink r:id="rId34" w:history="1">
        <w:r w:rsidRPr="0056306A">
          <w:rPr>
            <w:rStyle w:val="Hyperlink"/>
          </w:rPr>
          <w:t>https://publications.carbontrust.com/flex-gb/analysis/</w:t>
        </w:r>
      </w:hyperlink>
    </w:p>
    <w:p w14:paraId="4998BD2B" w14:textId="77777777" w:rsidR="009049C6" w:rsidRDefault="009049C6" w:rsidP="009049C6">
      <w:pPr>
        <w:pStyle w:val="ListParagraph"/>
        <w:numPr>
          <w:ilvl w:val="0"/>
          <w:numId w:val="11"/>
        </w:numPr>
        <w:jc w:val="left"/>
      </w:pPr>
      <w:r>
        <w:t>National Grid ESO</w:t>
      </w:r>
      <w:r w:rsidRPr="0056306A">
        <w:t xml:space="preserve"> (202</w:t>
      </w:r>
      <w:r>
        <w:t>2</w:t>
      </w:r>
      <w:r w:rsidRPr="0056306A">
        <w:t xml:space="preserve">) – </w:t>
      </w:r>
      <w:hyperlink r:id="rId35" w:history="1">
        <w:r w:rsidRPr="00010FCF">
          <w:rPr>
            <w:rStyle w:val="Hyperlink"/>
          </w:rPr>
          <w:t>https://www.nationalgrideso.com/future-energy/future-energy-scenarios</w:t>
        </w:r>
      </w:hyperlink>
    </w:p>
    <w:p w14:paraId="039DE7E0" w14:textId="77777777" w:rsidR="009049C6" w:rsidRPr="00B960A3" w:rsidRDefault="009049C6" w:rsidP="009049C6">
      <w:pPr>
        <w:jc w:val="left"/>
      </w:pPr>
      <w:r>
        <w:t xml:space="preserve">Data from the above studies were usually the results of consultations with key industry stakeholders, CCC, BEIS and research organisations. </w:t>
      </w:r>
    </w:p>
    <w:p w14:paraId="5BD53A44" w14:textId="77777777" w:rsidR="009049C6" w:rsidRPr="0056306A" w:rsidRDefault="009049C6" w:rsidP="009049C6">
      <w:pPr>
        <w:pStyle w:val="Bodytext1"/>
      </w:pPr>
      <w:r>
        <w:t>The</w:t>
      </w:r>
      <w:r w:rsidRPr="0056306A">
        <w:t xml:space="preserve"> key input data and assumptions are summarised in the following table.</w:t>
      </w:r>
    </w:p>
    <w:tbl>
      <w:tblPr>
        <w:tblStyle w:val="TableGrid"/>
        <w:tblW w:w="9888" w:type="dxa"/>
        <w:tblLook w:val="04A0" w:firstRow="1" w:lastRow="0" w:firstColumn="1" w:lastColumn="0" w:noHBand="0" w:noVBand="1"/>
      </w:tblPr>
      <w:tblGrid>
        <w:gridCol w:w="1662"/>
        <w:gridCol w:w="8226"/>
      </w:tblGrid>
      <w:tr w:rsidR="009049C6" w:rsidRPr="0056306A" w14:paraId="21D7070B" w14:textId="77777777" w:rsidTr="0BAF9C11">
        <w:trPr>
          <w:tblHeader/>
        </w:trPr>
        <w:tc>
          <w:tcPr>
            <w:tcW w:w="1662" w:type="dxa"/>
          </w:tcPr>
          <w:p w14:paraId="1E291DE5" w14:textId="77777777" w:rsidR="009049C6" w:rsidRPr="0056306A" w:rsidRDefault="009049C6" w:rsidP="002C06B4">
            <w:r w:rsidRPr="0056306A">
              <w:t>Category</w:t>
            </w:r>
          </w:p>
        </w:tc>
        <w:tc>
          <w:tcPr>
            <w:tcW w:w="8226" w:type="dxa"/>
          </w:tcPr>
          <w:p w14:paraId="2A6C8FD7" w14:textId="77777777" w:rsidR="009049C6" w:rsidRPr="0056306A" w:rsidRDefault="009049C6" w:rsidP="002C06B4">
            <w:r w:rsidRPr="0056306A">
              <w:t xml:space="preserve">Key input data and assumptions for central scenarios </w:t>
            </w:r>
          </w:p>
        </w:tc>
      </w:tr>
      <w:tr w:rsidR="009049C6" w:rsidRPr="0056306A" w14:paraId="0DD62835" w14:textId="77777777" w:rsidTr="0BAF9C11">
        <w:tc>
          <w:tcPr>
            <w:tcW w:w="1662" w:type="dxa"/>
          </w:tcPr>
          <w:p w14:paraId="513605F7" w14:textId="77777777" w:rsidR="009049C6" w:rsidRPr="0056306A" w:rsidRDefault="009049C6" w:rsidP="002C06B4">
            <w:r w:rsidRPr="0056306A">
              <w:t>Carbon emissions</w:t>
            </w:r>
          </w:p>
        </w:tc>
        <w:tc>
          <w:tcPr>
            <w:tcW w:w="8226" w:type="dxa"/>
          </w:tcPr>
          <w:p w14:paraId="208FADD3" w14:textId="77777777" w:rsidR="009049C6" w:rsidRPr="0056306A" w:rsidRDefault="009049C6" w:rsidP="002C06B4">
            <w:r w:rsidRPr="0056306A">
              <w:t>Net-zero on an annual basis (GB system)</w:t>
            </w:r>
          </w:p>
          <w:p w14:paraId="430C2A01" w14:textId="3211676F" w:rsidR="009049C6" w:rsidRDefault="009049C6" w:rsidP="002C06B4">
            <w:r w:rsidRPr="0056306A">
              <w:t xml:space="preserve">Need to offset emissions from </w:t>
            </w:r>
            <w:r w:rsidR="0007436A">
              <w:t>"</w:t>
            </w:r>
            <w:r w:rsidRPr="0056306A">
              <w:t>hard to decarbonise</w:t>
            </w:r>
            <w:r w:rsidR="0007436A">
              <w:t>"</w:t>
            </w:r>
            <w:r w:rsidRPr="0056306A">
              <w:t xml:space="preserve"> sectors: 50 MtCO</w:t>
            </w:r>
            <w:r w:rsidRPr="0056306A">
              <w:rPr>
                <w:vertAlign w:val="subscript"/>
              </w:rPr>
              <w:t>2</w:t>
            </w:r>
            <w:r w:rsidRPr="0056306A">
              <w:t>/</w:t>
            </w:r>
            <w:proofErr w:type="gramStart"/>
            <w:r w:rsidRPr="0056306A">
              <w:t>year</w:t>
            </w:r>
            <w:proofErr w:type="gramEnd"/>
          </w:p>
          <w:p w14:paraId="44B4449A" w14:textId="77777777" w:rsidR="009049C6" w:rsidRDefault="009049C6" w:rsidP="002C06B4">
            <w:r>
              <w:t xml:space="preserve">Include emissions from electricity and hydrogen </w:t>
            </w:r>
            <w:proofErr w:type="gramStart"/>
            <w:r>
              <w:t>systems</w:t>
            </w:r>
            <w:proofErr w:type="gramEnd"/>
          </w:p>
          <w:p w14:paraId="52B8926C" w14:textId="77777777" w:rsidR="009049C6" w:rsidRPr="0056306A" w:rsidRDefault="009049C6" w:rsidP="002C06B4"/>
        </w:tc>
      </w:tr>
      <w:tr w:rsidR="009049C6" w:rsidRPr="0056306A" w14:paraId="68AEBB75" w14:textId="77777777" w:rsidTr="0BAF9C11">
        <w:tc>
          <w:tcPr>
            <w:tcW w:w="1662" w:type="dxa"/>
          </w:tcPr>
          <w:p w14:paraId="6BD12D1A" w14:textId="77777777" w:rsidR="009049C6" w:rsidRPr="0056306A" w:rsidRDefault="009049C6" w:rsidP="002C06B4">
            <w:r>
              <w:t>Energy demand</w:t>
            </w:r>
          </w:p>
        </w:tc>
        <w:tc>
          <w:tcPr>
            <w:tcW w:w="8226" w:type="dxa"/>
          </w:tcPr>
          <w:p w14:paraId="52BC32F5" w14:textId="77777777" w:rsidR="009049C6" w:rsidRDefault="009049C6" w:rsidP="002C06B4">
            <w:r>
              <w:t xml:space="preserve">All figures are in TWh/year* </w:t>
            </w:r>
          </w:p>
          <w:p w14:paraId="18FBCC3B" w14:textId="77777777" w:rsidR="009049C6" w:rsidRDefault="009049C6" w:rsidP="002C06B4">
            <w:r>
              <w:t>7% losses are included in the electricity demand to account for transmission and distribution losses.</w:t>
            </w:r>
          </w:p>
          <w:p w14:paraId="0ED6A424" w14:textId="77777777" w:rsidR="009049C6" w:rsidRDefault="009049C6" w:rsidP="002C06B4">
            <w:r>
              <w:t xml:space="preserve">Domestic </w:t>
            </w:r>
          </w:p>
          <w:p w14:paraId="5B63AF1A" w14:textId="77777777" w:rsidR="009049C6" w:rsidRDefault="009049C6" w:rsidP="009049C6">
            <w:pPr>
              <w:pStyle w:val="ListParagraph"/>
              <w:numPr>
                <w:ilvl w:val="0"/>
                <w:numId w:val="20"/>
              </w:numPr>
            </w:pPr>
            <w:r>
              <w:t xml:space="preserve">heat demand: 228 TWh (heat) </w:t>
            </w:r>
            <w:r>
              <w:rPr>
                <w:rStyle w:val="FootnoteReference"/>
              </w:rPr>
              <w:footnoteReference w:id="6"/>
            </w:r>
          </w:p>
          <w:p w14:paraId="1A4150DD" w14:textId="77777777" w:rsidR="009049C6" w:rsidRDefault="009049C6" w:rsidP="009049C6">
            <w:pPr>
              <w:pStyle w:val="ListParagraph"/>
              <w:numPr>
                <w:ilvl w:val="0"/>
                <w:numId w:val="20"/>
              </w:numPr>
            </w:pPr>
            <w:r>
              <w:t xml:space="preserve">appliances: 48 TWh (electricity) </w:t>
            </w:r>
          </w:p>
          <w:p w14:paraId="56C7EEA6" w14:textId="77777777" w:rsidR="009049C6" w:rsidRDefault="009049C6" w:rsidP="002C06B4">
            <w:r>
              <w:t>Road transport: 123 TWh (electricity)</w:t>
            </w:r>
          </w:p>
          <w:p w14:paraId="4F1B3144" w14:textId="77777777" w:rsidR="009049C6" w:rsidRDefault="009049C6" w:rsidP="002C06B4">
            <w:r>
              <w:t>HGV, shipping, aviation, non-heat industrial hydrogen process: 88 TWh (hydrogen)</w:t>
            </w:r>
          </w:p>
          <w:p w14:paraId="613DEB2C" w14:textId="77777777" w:rsidR="009049C6" w:rsidRDefault="009049C6" w:rsidP="002C06B4">
            <w:r>
              <w:t>Non-domestic</w:t>
            </w:r>
          </w:p>
          <w:p w14:paraId="1F73DF49" w14:textId="77777777" w:rsidR="009049C6" w:rsidRDefault="009049C6" w:rsidP="009049C6">
            <w:pPr>
              <w:pStyle w:val="ListParagraph"/>
              <w:numPr>
                <w:ilvl w:val="0"/>
                <w:numId w:val="20"/>
              </w:numPr>
            </w:pPr>
            <w:r>
              <w:t>electricity (non-transport/heat): 224 TWh</w:t>
            </w:r>
          </w:p>
          <w:p w14:paraId="3B49C75D" w14:textId="77777777" w:rsidR="009049C6" w:rsidRDefault="009049C6" w:rsidP="009049C6">
            <w:pPr>
              <w:pStyle w:val="ListParagraph"/>
              <w:numPr>
                <w:ilvl w:val="0"/>
                <w:numId w:val="20"/>
              </w:numPr>
            </w:pPr>
            <w:r>
              <w:t>space and water heating: 81 TWh (heat)</w:t>
            </w:r>
          </w:p>
          <w:p w14:paraId="18721E71" w14:textId="77777777" w:rsidR="009049C6" w:rsidRDefault="009049C6" w:rsidP="009049C6">
            <w:pPr>
              <w:pStyle w:val="ListParagraph"/>
              <w:numPr>
                <w:ilvl w:val="0"/>
                <w:numId w:val="20"/>
              </w:numPr>
            </w:pPr>
            <w:r>
              <w:t>industry low-temperature heating: 57 TWh (heat)</w:t>
            </w:r>
          </w:p>
          <w:p w14:paraId="6D069EDA" w14:textId="77777777" w:rsidR="009049C6" w:rsidRDefault="009049C6" w:rsidP="009049C6">
            <w:pPr>
              <w:pStyle w:val="ListParagraph"/>
              <w:numPr>
                <w:ilvl w:val="0"/>
                <w:numId w:val="20"/>
              </w:numPr>
            </w:pPr>
            <w:r>
              <w:t>industry high-temperature heating: 37 TWh (hydrogen)</w:t>
            </w:r>
          </w:p>
          <w:p w14:paraId="32090E2D" w14:textId="77777777" w:rsidR="009049C6" w:rsidRDefault="009049C6" w:rsidP="002C06B4">
            <w:r>
              <w:t>Cooling (electricity): 12 TWh (electricity)</w:t>
            </w:r>
          </w:p>
          <w:p w14:paraId="2071AD4A" w14:textId="77777777" w:rsidR="009049C6" w:rsidRDefault="009049C6" w:rsidP="002C06B4"/>
          <w:p w14:paraId="4411BAA9" w14:textId="77777777" w:rsidR="009049C6" w:rsidRDefault="009049C6" w:rsidP="002C06B4">
            <w:r>
              <w:t xml:space="preserve">Electricity demand from electrolysis, hydrogen production, energy storage, DACCS, and interconnectors is excluded in this table. Those will be calculated in the model directly. </w:t>
            </w:r>
          </w:p>
          <w:p w14:paraId="7732C9DF" w14:textId="77777777" w:rsidR="009049C6" w:rsidRDefault="009049C6" w:rsidP="002C06B4">
            <w:r w:rsidRPr="0056306A">
              <w:lastRenderedPageBreak/>
              <w:t xml:space="preserve">The energy system infrastructure and operation in IWES are optimised to meet the annual energy demand and net-zero emissions requirements. The </w:t>
            </w:r>
            <w:r>
              <w:t>GB</w:t>
            </w:r>
            <w:r w:rsidRPr="0056306A">
              <w:t xml:space="preserve"> is assumed to be energy positive at the annual level (total annual demand is less or equal to annual production), and the interconnectors are used for short-term energy/power exchanges with adjacent countries.</w:t>
            </w:r>
          </w:p>
          <w:p w14:paraId="7277601A" w14:textId="77777777" w:rsidR="009049C6" w:rsidRPr="0056306A" w:rsidRDefault="009049C6" w:rsidP="002C06B4"/>
        </w:tc>
      </w:tr>
      <w:tr w:rsidR="009049C6" w:rsidRPr="0056306A" w14:paraId="7E235B3D" w14:textId="77777777" w:rsidTr="0BAF9C11">
        <w:tc>
          <w:tcPr>
            <w:tcW w:w="1662" w:type="dxa"/>
          </w:tcPr>
          <w:p w14:paraId="125A54A5" w14:textId="77777777" w:rsidR="009049C6" w:rsidRPr="0056306A" w:rsidRDefault="009049C6" w:rsidP="002C06B4">
            <w:r w:rsidRPr="0056306A">
              <w:lastRenderedPageBreak/>
              <w:t>Bioenergy</w:t>
            </w:r>
          </w:p>
        </w:tc>
        <w:tc>
          <w:tcPr>
            <w:tcW w:w="8226" w:type="dxa"/>
          </w:tcPr>
          <w:p w14:paraId="2E6DE8F4" w14:textId="77777777" w:rsidR="009049C6" w:rsidRDefault="009049C6" w:rsidP="002C06B4">
            <w:r w:rsidRPr="0056306A">
              <w:t>1</w:t>
            </w:r>
            <w:r>
              <w:t>51</w:t>
            </w:r>
            <w:r w:rsidRPr="0056306A">
              <w:t xml:space="preserve"> TWh (</w:t>
            </w:r>
            <w:r>
              <w:t xml:space="preserve">biomass </w:t>
            </w:r>
            <w:r w:rsidRPr="0056306A">
              <w:t>input)</w:t>
            </w:r>
          </w:p>
          <w:p w14:paraId="498E9628" w14:textId="77777777" w:rsidR="009049C6" w:rsidRPr="0056306A" w:rsidRDefault="009049C6" w:rsidP="002C06B4"/>
        </w:tc>
      </w:tr>
      <w:tr w:rsidR="009049C6" w:rsidRPr="0056306A" w14:paraId="536B2422" w14:textId="77777777" w:rsidTr="0BAF9C11">
        <w:tc>
          <w:tcPr>
            <w:tcW w:w="1662" w:type="dxa"/>
          </w:tcPr>
          <w:p w14:paraId="2D7023C7" w14:textId="77777777" w:rsidR="009049C6" w:rsidRPr="0056306A" w:rsidRDefault="009049C6" w:rsidP="002C06B4">
            <w:r w:rsidRPr="0056306A">
              <w:t>Negative emission technologies</w:t>
            </w:r>
          </w:p>
        </w:tc>
        <w:tc>
          <w:tcPr>
            <w:tcW w:w="8226" w:type="dxa"/>
          </w:tcPr>
          <w:p w14:paraId="4219636F" w14:textId="77777777" w:rsidR="009049C6" w:rsidRPr="0056306A" w:rsidRDefault="009049C6" w:rsidP="002C06B4">
            <w:r w:rsidRPr="0056306A">
              <w:t>BECCS for power, hydrogen, methane</w:t>
            </w:r>
          </w:p>
          <w:p w14:paraId="63086081" w14:textId="77777777" w:rsidR="009049C6" w:rsidRPr="0056306A" w:rsidRDefault="009049C6" w:rsidP="002C06B4">
            <w:r w:rsidRPr="0056306A">
              <w:t>DACCS with electricity and hydrogen heating</w:t>
            </w:r>
          </w:p>
        </w:tc>
      </w:tr>
      <w:tr w:rsidR="009049C6" w:rsidRPr="0056306A" w14:paraId="4ADB80E3" w14:textId="77777777" w:rsidTr="0BAF9C11">
        <w:tc>
          <w:tcPr>
            <w:tcW w:w="1662" w:type="dxa"/>
          </w:tcPr>
          <w:p w14:paraId="5055FC13" w14:textId="77777777" w:rsidR="009049C6" w:rsidRPr="0056306A" w:rsidRDefault="009049C6" w:rsidP="002C06B4">
            <w:r w:rsidRPr="0056306A">
              <w:t>CCUS</w:t>
            </w:r>
          </w:p>
        </w:tc>
        <w:tc>
          <w:tcPr>
            <w:tcW w:w="8226" w:type="dxa"/>
          </w:tcPr>
          <w:p w14:paraId="0DB448EF" w14:textId="77777777" w:rsidR="009049C6" w:rsidRPr="0056306A" w:rsidRDefault="009049C6" w:rsidP="002C06B4">
            <w:r w:rsidRPr="0056306A">
              <w:t xml:space="preserve">Carbon storage and CCUS network are available and optimised by the </w:t>
            </w:r>
            <w:proofErr w:type="gramStart"/>
            <w:r w:rsidRPr="0056306A">
              <w:t>model</w:t>
            </w:r>
            <w:proofErr w:type="gramEnd"/>
          </w:p>
          <w:p w14:paraId="585EBF1B" w14:textId="77777777" w:rsidR="009049C6" w:rsidRPr="0056306A" w:rsidRDefault="009049C6" w:rsidP="002C06B4">
            <w:pPr>
              <w:rPr>
                <w:vertAlign w:val="subscript"/>
              </w:rPr>
            </w:pPr>
            <w:r w:rsidRPr="0056306A">
              <w:t>Cost of storing carbon: £15/tCO</w:t>
            </w:r>
            <w:r w:rsidRPr="0056306A">
              <w:rPr>
                <w:vertAlign w:val="subscript"/>
              </w:rPr>
              <w:t>2</w:t>
            </w:r>
          </w:p>
          <w:p w14:paraId="45D6572F" w14:textId="77777777" w:rsidR="009049C6" w:rsidRPr="0056306A" w:rsidRDefault="009049C6" w:rsidP="002C06B4">
            <w:r w:rsidRPr="0056306A">
              <w:t xml:space="preserve">All CCUS technologies (except BECCS) are developed in regions with carbon storage terminals (Scotland, </w:t>
            </w:r>
            <w:proofErr w:type="gramStart"/>
            <w:r w:rsidRPr="0056306A">
              <w:t>North East</w:t>
            </w:r>
            <w:proofErr w:type="gramEnd"/>
            <w:r w:rsidRPr="0056306A">
              <w:t xml:space="preserve"> England, North Wales, East Midlands, East England)</w:t>
            </w:r>
          </w:p>
        </w:tc>
      </w:tr>
      <w:tr w:rsidR="009049C6" w:rsidRPr="0056306A" w14:paraId="188F5B98" w14:textId="77777777" w:rsidTr="0BAF9C11">
        <w:tc>
          <w:tcPr>
            <w:tcW w:w="1662" w:type="dxa"/>
          </w:tcPr>
          <w:p w14:paraId="61EC63FF" w14:textId="77777777" w:rsidR="009049C6" w:rsidRPr="0056306A" w:rsidRDefault="009049C6" w:rsidP="002C06B4">
            <w:proofErr w:type="spellStart"/>
            <w:r>
              <w:t>LCoE</w:t>
            </w:r>
            <w:proofErr w:type="spellEnd"/>
            <w:r>
              <w:t xml:space="preserve"> of power generation in 2050</w:t>
            </w:r>
          </w:p>
        </w:tc>
        <w:tc>
          <w:tcPr>
            <w:tcW w:w="8226" w:type="dxa"/>
          </w:tcPr>
          <w:p w14:paraId="44C51E2E"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2"/>
                <w:szCs w:val="22"/>
              </w:rPr>
            </w:pPr>
          </w:p>
          <w:p w14:paraId="59239DCE"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Renewable and nuclear technologies</w:t>
            </w:r>
          </w:p>
          <w:tbl>
            <w:tblPr>
              <w:tblStyle w:val="TableGrid"/>
              <w:tblW w:w="0" w:type="auto"/>
              <w:tblLook w:val="04A0" w:firstRow="1" w:lastRow="0" w:firstColumn="1" w:lastColumn="0" w:noHBand="0" w:noVBand="1"/>
            </w:tblPr>
            <w:tblGrid>
              <w:gridCol w:w="1911"/>
              <w:gridCol w:w="1559"/>
              <w:gridCol w:w="2977"/>
            </w:tblGrid>
            <w:tr w:rsidR="009049C6" w:rsidRPr="00C44962" w14:paraId="7936A999" w14:textId="77777777" w:rsidTr="002C06B4">
              <w:tc>
                <w:tcPr>
                  <w:tcW w:w="1911" w:type="dxa"/>
                </w:tcPr>
                <w:p w14:paraId="4669D289"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b/>
                      <w:bCs/>
                      <w:color w:val="000000" w:themeColor="text1"/>
                      <w:sz w:val="20"/>
                      <w:szCs w:val="20"/>
                    </w:rPr>
                  </w:pPr>
                  <w:r w:rsidRPr="00C44962">
                    <w:rPr>
                      <w:rFonts w:asciiTheme="minorHAnsi" w:hAnsiTheme="minorHAnsi" w:cstheme="minorHAnsi"/>
                      <w:b/>
                      <w:bCs/>
                      <w:color w:val="000000" w:themeColor="text1"/>
                      <w:sz w:val="20"/>
                      <w:szCs w:val="20"/>
                    </w:rPr>
                    <w:t>Technology</w:t>
                  </w:r>
                </w:p>
              </w:tc>
              <w:tc>
                <w:tcPr>
                  <w:tcW w:w="1559" w:type="dxa"/>
                </w:tcPr>
                <w:p w14:paraId="64BE9E6B"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b/>
                      <w:bCs/>
                      <w:color w:val="000000" w:themeColor="text1"/>
                      <w:sz w:val="20"/>
                      <w:szCs w:val="20"/>
                    </w:rPr>
                  </w:pPr>
                  <w:r w:rsidRPr="00C44962">
                    <w:rPr>
                      <w:rFonts w:asciiTheme="minorHAnsi" w:hAnsiTheme="minorHAnsi" w:cstheme="minorHAnsi"/>
                      <w:b/>
                      <w:bCs/>
                      <w:color w:val="000000" w:themeColor="text1"/>
                      <w:sz w:val="20"/>
                      <w:szCs w:val="20"/>
                    </w:rPr>
                    <w:t>LCOE (£/MWh)</w:t>
                  </w:r>
                </w:p>
              </w:tc>
              <w:tc>
                <w:tcPr>
                  <w:tcW w:w="2977" w:type="dxa"/>
                </w:tcPr>
                <w:p w14:paraId="7FD0681A"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b/>
                      <w:bCs/>
                      <w:color w:val="000000" w:themeColor="text1"/>
                      <w:sz w:val="20"/>
                      <w:szCs w:val="20"/>
                    </w:rPr>
                  </w:pPr>
                  <w:r w:rsidRPr="00C44962">
                    <w:rPr>
                      <w:rFonts w:asciiTheme="minorHAnsi" w:hAnsiTheme="minorHAnsi" w:cstheme="minorHAnsi"/>
                      <w:b/>
                      <w:bCs/>
                      <w:color w:val="000000" w:themeColor="text1"/>
                      <w:sz w:val="20"/>
                      <w:szCs w:val="20"/>
                    </w:rPr>
                    <w:t>Max. capacity by 2050 (GW)</w:t>
                  </w:r>
                  <w:r>
                    <w:rPr>
                      <w:rFonts w:asciiTheme="minorHAnsi" w:hAnsiTheme="minorHAnsi" w:cstheme="minorHAnsi"/>
                      <w:b/>
                      <w:bCs/>
                      <w:color w:val="000000" w:themeColor="text1"/>
                      <w:sz w:val="20"/>
                      <w:szCs w:val="20"/>
                    </w:rPr>
                    <w:t>*</w:t>
                  </w:r>
                </w:p>
              </w:tc>
            </w:tr>
            <w:tr w:rsidR="009049C6" w:rsidRPr="00C44962" w14:paraId="393B2964" w14:textId="77777777" w:rsidTr="002C06B4">
              <w:tc>
                <w:tcPr>
                  <w:tcW w:w="1911" w:type="dxa"/>
                </w:tcPr>
                <w:p w14:paraId="41155209"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Offshore</w:t>
                  </w:r>
                </w:p>
              </w:tc>
              <w:tc>
                <w:tcPr>
                  <w:tcW w:w="1559" w:type="dxa"/>
                </w:tcPr>
                <w:p w14:paraId="69F8FC0F"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35</w:t>
                  </w:r>
                </w:p>
              </w:tc>
              <w:tc>
                <w:tcPr>
                  <w:tcW w:w="2977" w:type="dxa"/>
                </w:tcPr>
                <w:p w14:paraId="0FEAAEA8"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1</w:t>
                  </w:r>
                  <w:r>
                    <w:rPr>
                      <w:rFonts w:asciiTheme="minorHAnsi" w:hAnsiTheme="minorHAnsi" w:cstheme="minorHAnsi"/>
                      <w:color w:val="000000" w:themeColor="text1"/>
                      <w:sz w:val="20"/>
                      <w:szCs w:val="20"/>
                    </w:rPr>
                    <w:t>1</w:t>
                  </w:r>
                  <w:r w:rsidRPr="00C44962">
                    <w:rPr>
                      <w:rFonts w:asciiTheme="minorHAnsi" w:hAnsiTheme="minorHAnsi" w:cstheme="minorHAnsi"/>
                      <w:color w:val="000000" w:themeColor="text1"/>
                      <w:sz w:val="20"/>
                      <w:szCs w:val="20"/>
                    </w:rPr>
                    <w:t>0</w:t>
                  </w:r>
                </w:p>
              </w:tc>
            </w:tr>
            <w:tr w:rsidR="009049C6" w:rsidRPr="00C44962" w14:paraId="6733FDD1" w14:textId="77777777" w:rsidTr="002C06B4">
              <w:tc>
                <w:tcPr>
                  <w:tcW w:w="1911" w:type="dxa"/>
                </w:tcPr>
                <w:p w14:paraId="2DAFAA4F"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Onshore</w:t>
                  </w:r>
                </w:p>
              </w:tc>
              <w:tc>
                <w:tcPr>
                  <w:tcW w:w="1559" w:type="dxa"/>
                </w:tcPr>
                <w:p w14:paraId="47256F64"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30</w:t>
                  </w:r>
                </w:p>
              </w:tc>
              <w:tc>
                <w:tcPr>
                  <w:tcW w:w="2977" w:type="dxa"/>
                </w:tcPr>
                <w:p w14:paraId="022F2F3E"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50</w:t>
                  </w:r>
                </w:p>
              </w:tc>
            </w:tr>
            <w:tr w:rsidR="009049C6" w:rsidRPr="00C44962" w14:paraId="1246CDAC" w14:textId="77777777" w:rsidTr="002C06B4">
              <w:tc>
                <w:tcPr>
                  <w:tcW w:w="1911" w:type="dxa"/>
                </w:tcPr>
                <w:p w14:paraId="509D1FC8"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Solar PV</w:t>
                  </w:r>
                </w:p>
              </w:tc>
              <w:tc>
                <w:tcPr>
                  <w:tcW w:w="1559" w:type="dxa"/>
                </w:tcPr>
                <w:p w14:paraId="36D918DE"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44</w:t>
                  </w:r>
                </w:p>
              </w:tc>
              <w:tc>
                <w:tcPr>
                  <w:tcW w:w="2977" w:type="dxa"/>
                </w:tcPr>
                <w:p w14:paraId="419BD4FD"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100</w:t>
                  </w:r>
                </w:p>
              </w:tc>
            </w:tr>
            <w:tr w:rsidR="009049C6" w:rsidRPr="00C44962" w14:paraId="6A1E1899" w14:textId="77777777" w:rsidTr="002C06B4">
              <w:tc>
                <w:tcPr>
                  <w:tcW w:w="1911" w:type="dxa"/>
                </w:tcPr>
                <w:p w14:paraId="414CF835"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Nuclear</w:t>
                  </w:r>
                </w:p>
              </w:tc>
              <w:tc>
                <w:tcPr>
                  <w:tcW w:w="1559" w:type="dxa"/>
                </w:tcPr>
                <w:p w14:paraId="40DACFFD"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sidRPr="00C44962">
                    <w:rPr>
                      <w:rFonts w:asciiTheme="minorHAnsi" w:hAnsiTheme="minorHAnsi" w:cstheme="minorHAnsi"/>
                      <w:color w:val="000000" w:themeColor="text1"/>
                      <w:sz w:val="20"/>
                      <w:szCs w:val="20"/>
                    </w:rPr>
                    <w:t>60</w:t>
                  </w:r>
                </w:p>
              </w:tc>
              <w:tc>
                <w:tcPr>
                  <w:tcW w:w="2977" w:type="dxa"/>
                </w:tcPr>
                <w:p w14:paraId="2569E25F" w14:textId="77777777" w:rsidR="009049C6" w:rsidRPr="00C44962" w:rsidRDefault="009049C6" w:rsidP="002C06B4">
                  <w:pPr>
                    <w:pStyle w:val="NormalWeb"/>
                    <w:spacing w:before="0" w:beforeAutospacing="0" w:after="0" w:afterAutospacing="0"/>
                    <w:jc w:val="right"/>
                    <w:textAlignment w:val="bottom"/>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20</w:t>
                  </w:r>
                </w:p>
              </w:tc>
            </w:tr>
          </w:tbl>
          <w:p w14:paraId="1FA2875E"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t>
            </w:r>
            <w:proofErr w:type="gramStart"/>
            <w:r>
              <w:rPr>
                <w:rFonts w:asciiTheme="minorHAnsi" w:hAnsiTheme="minorHAnsi" w:cstheme="minorHAnsi"/>
                <w:color w:val="000000" w:themeColor="text1"/>
                <w:sz w:val="20"/>
                <w:szCs w:val="20"/>
              </w:rPr>
              <w:t>rounding</w:t>
            </w:r>
            <w:proofErr w:type="gramEnd"/>
            <w:r>
              <w:rPr>
                <w:rFonts w:asciiTheme="minorHAnsi" w:hAnsiTheme="minorHAnsi" w:cstheme="minorHAnsi"/>
                <w:color w:val="000000" w:themeColor="text1"/>
                <w:sz w:val="20"/>
                <w:szCs w:val="20"/>
              </w:rPr>
              <w:t xml:space="preserve"> up to the nearest 10GW from FES 2022 capacity</w:t>
            </w:r>
          </w:p>
          <w:p w14:paraId="392FD633" w14:textId="77777777" w:rsidR="009049C6" w:rsidRPr="00C44962"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0"/>
                <w:szCs w:val="20"/>
              </w:rPr>
            </w:pPr>
          </w:p>
          <w:p w14:paraId="7B392D14"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Other technologies</w:t>
            </w:r>
          </w:p>
          <w:tbl>
            <w:tblPr>
              <w:tblW w:w="6340" w:type="dxa"/>
              <w:tblLook w:val="04A0" w:firstRow="1" w:lastRow="0" w:firstColumn="1" w:lastColumn="0" w:noHBand="0" w:noVBand="1"/>
            </w:tblPr>
            <w:tblGrid>
              <w:gridCol w:w="1740"/>
              <w:gridCol w:w="960"/>
              <w:gridCol w:w="960"/>
              <w:gridCol w:w="960"/>
              <w:gridCol w:w="896"/>
              <w:gridCol w:w="1115"/>
            </w:tblGrid>
            <w:tr w:rsidR="009049C6" w:rsidRPr="003B1EA7" w14:paraId="0AD84683" w14:textId="77777777" w:rsidTr="002C06B4">
              <w:trPr>
                <w:trHeight w:val="1020"/>
              </w:trPr>
              <w:tc>
                <w:tcPr>
                  <w:tcW w:w="17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834E34" w14:textId="77777777" w:rsidR="009049C6" w:rsidRPr="003B1EA7" w:rsidRDefault="009049C6" w:rsidP="002C06B4">
                  <w:pPr>
                    <w:spacing w:after="0" w:line="240" w:lineRule="auto"/>
                    <w:jc w:val="center"/>
                    <w:rPr>
                      <w:rFonts w:ascii="Calibri" w:eastAsia="Times New Roman" w:hAnsi="Calibri" w:cs="Calibri"/>
                      <w:b/>
                      <w:bCs/>
                      <w:color w:val="000000"/>
                      <w:sz w:val="20"/>
                      <w:szCs w:val="20"/>
                      <w:lang w:eastAsia="en-GB"/>
                    </w:rPr>
                  </w:pPr>
                  <w:r w:rsidRPr="003B1EA7">
                    <w:rPr>
                      <w:rFonts w:ascii="Calibri" w:eastAsia="Times New Roman" w:hAnsi="Calibri" w:cs="Calibri"/>
                      <w:b/>
                      <w:bCs/>
                      <w:color w:val="000000"/>
                      <w:sz w:val="20"/>
                      <w:szCs w:val="20"/>
                      <w:lang w:eastAsia="en-GB"/>
                    </w:rPr>
                    <w:t>Technology</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75BF722" w14:textId="77777777" w:rsidR="009049C6" w:rsidRPr="003B1EA7" w:rsidRDefault="009049C6" w:rsidP="002C06B4">
                  <w:pPr>
                    <w:spacing w:after="0" w:line="240" w:lineRule="auto"/>
                    <w:jc w:val="center"/>
                    <w:rPr>
                      <w:rFonts w:ascii="Calibri" w:eastAsia="Times New Roman" w:hAnsi="Calibri" w:cs="Calibri"/>
                      <w:b/>
                      <w:bCs/>
                      <w:color w:val="000000"/>
                      <w:sz w:val="20"/>
                      <w:szCs w:val="20"/>
                      <w:lang w:eastAsia="en-GB"/>
                    </w:rPr>
                  </w:pPr>
                  <w:r w:rsidRPr="003B1EA7">
                    <w:rPr>
                      <w:rFonts w:ascii="Calibri" w:eastAsia="Times New Roman" w:hAnsi="Calibri" w:cs="Calibri"/>
                      <w:b/>
                      <w:bCs/>
                      <w:color w:val="000000"/>
                      <w:sz w:val="20"/>
                      <w:szCs w:val="20"/>
                      <w:lang w:eastAsia="en-GB"/>
                    </w:rPr>
                    <w:t>CAPEX £/kW (2050)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E24AFCF" w14:textId="77777777" w:rsidR="009049C6" w:rsidRPr="003B1EA7" w:rsidRDefault="009049C6" w:rsidP="002C06B4">
                  <w:pPr>
                    <w:spacing w:after="0" w:line="240" w:lineRule="auto"/>
                    <w:jc w:val="center"/>
                    <w:rPr>
                      <w:rFonts w:ascii="Calibri" w:eastAsia="Times New Roman" w:hAnsi="Calibri" w:cs="Calibri"/>
                      <w:b/>
                      <w:bCs/>
                      <w:color w:val="000000"/>
                      <w:sz w:val="20"/>
                      <w:szCs w:val="20"/>
                      <w:lang w:eastAsia="en-GB"/>
                    </w:rPr>
                  </w:pPr>
                  <w:r w:rsidRPr="003B1EA7">
                    <w:rPr>
                      <w:rFonts w:ascii="Calibri" w:eastAsia="Times New Roman" w:hAnsi="Calibri" w:cs="Calibri"/>
                      <w:b/>
                      <w:bCs/>
                      <w:color w:val="000000"/>
                      <w:sz w:val="20"/>
                      <w:szCs w:val="20"/>
                      <w:lang w:eastAsia="en-GB"/>
                    </w:rPr>
                    <w:t>Fixed Cost (£/kW) (2050)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0799DF2" w14:textId="77777777" w:rsidR="009049C6" w:rsidRPr="003B1EA7" w:rsidRDefault="009049C6" w:rsidP="002C06B4">
                  <w:pPr>
                    <w:spacing w:after="0" w:line="240" w:lineRule="auto"/>
                    <w:jc w:val="center"/>
                    <w:rPr>
                      <w:rFonts w:ascii="Calibri" w:eastAsia="Times New Roman" w:hAnsi="Calibri" w:cs="Calibri"/>
                      <w:b/>
                      <w:bCs/>
                      <w:color w:val="000000"/>
                      <w:sz w:val="20"/>
                      <w:szCs w:val="20"/>
                      <w:lang w:eastAsia="en-GB"/>
                    </w:rPr>
                  </w:pPr>
                  <w:r w:rsidRPr="003B1EA7">
                    <w:rPr>
                      <w:rFonts w:ascii="Calibri" w:eastAsia="Times New Roman" w:hAnsi="Calibri" w:cs="Calibri"/>
                      <w:b/>
                      <w:bCs/>
                      <w:color w:val="000000"/>
                      <w:sz w:val="20"/>
                      <w:szCs w:val="20"/>
                      <w:lang w:eastAsia="en-GB"/>
                    </w:rPr>
                    <w:t>Hurdle rate</w:t>
                  </w:r>
                </w:p>
              </w:tc>
              <w:tc>
                <w:tcPr>
                  <w:tcW w:w="760" w:type="dxa"/>
                  <w:tcBorders>
                    <w:top w:val="single" w:sz="4" w:space="0" w:color="auto"/>
                    <w:left w:val="nil"/>
                    <w:bottom w:val="single" w:sz="4" w:space="0" w:color="auto"/>
                    <w:right w:val="single" w:sz="4" w:space="0" w:color="auto"/>
                  </w:tcBorders>
                  <w:shd w:val="clear" w:color="auto" w:fill="auto"/>
                  <w:vAlign w:val="center"/>
                  <w:hideMark/>
                </w:tcPr>
                <w:p w14:paraId="34AD2F98" w14:textId="77777777" w:rsidR="009049C6" w:rsidRPr="003B1EA7" w:rsidRDefault="009049C6" w:rsidP="002C06B4">
                  <w:pPr>
                    <w:spacing w:after="0" w:line="240" w:lineRule="auto"/>
                    <w:jc w:val="center"/>
                    <w:rPr>
                      <w:rFonts w:ascii="Calibri" w:eastAsia="Times New Roman" w:hAnsi="Calibri" w:cs="Calibri"/>
                      <w:b/>
                      <w:bCs/>
                      <w:color w:val="000000"/>
                      <w:sz w:val="20"/>
                      <w:szCs w:val="20"/>
                      <w:lang w:eastAsia="en-GB"/>
                    </w:rPr>
                  </w:pPr>
                  <w:r w:rsidRPr="003B1EA7">
                    <w:rPr>
                      <w:rFonts w:ascii="Calibri" w:eastAsia="Times New Roman" w:hAnsi="Calibri" w:cs="Calibri"/>
                      <w:b/>
                      <w:bCs/>
                      <w:color w:val="000000"/>
                      <w:sz w:val="20"/>
                      <w:szCs w:val="20"/>
                      <w:lang w:eastAsia="en-GB"/>
                    </w:rPr>
                    <w:t>Lifetime</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307BC86" w14:textId="77777777" w:rsidR="009049C6" w:rsidRPr="003B1EA7" w:rsidRDefault="009049C6" w:rsidP="002C06B4">
                  <w:pPr>
                    <w:spacing w:after="0" w:line="240" w:lineRule="auto"/>
                    <w:jc w:val="center"/>
                    <w:rPr>
                      <w:rFonts w:ascii="Calibri" w:eastAsia="Times New Roman" w:hAnsi="Calibri" w:cs="Calibri"/>
                      <w:b/>
                      <w:bCs/>
                      <w:color w:val="000000"/>
                      <w:sz w:val="20"/>
                      <w:szCs w:val="20"/>
                      <w:lang w:eastAsia="en-GB"/>
                    </w:rPr>
                  </w:pPr>
                  <w:proofErr w:type="spellStart"/>
                  <w:r w:rsidRPr="003B1EA7">
                    <w:rPr>
                      <w:rFonts w:ascii="Calibri" w:eastAsia="Times New Roman" w:hAnsi="Calibri" w:cs="Calibri"/>
                      <w:b/>
                      <w:bCs/>
                      <w:color w:val="000000"/>
                      <w:sz w:val="20"/>
                      <w:szCs w:val="20"/>
                      <w:lang w:eastAsia="en-GB"/>
                    </w:rPr>
                    <w:t>Annuitised</w:t>
                  </w:r>
                  <w:proofErr w:type="spellEnd"/>
                  <w:r w:rsidRPr="003B1EA7">
                    <w:rPr>
                      <w:rFonts w:ascii="Calibri" w:eastAsia="Times New Roman" w:hAnsi="Calibri" w:cs="Calibri"/>
                      <w:b/>
                      <w:bCs/>
                      <w:color w:val="000000"/>
                      <w:sz w:val="20"/>
                      <w:szCs w:val="20"/>
                      <w:lang w:eastAsia="en-GB"/>
                    </w:rPr>
                    <w:t xml:space="preserve"> cost (£/kW p.a.)</w:t>
                  </w:r>
                </w:p>
              </w:tc>
            </w:tr>
            <w:tr w:rsidR="009049C6" w:rsidRPr="003B1EA7" w14:paraId="6C1CD92A" w14:textId="77777777" w:rsidTr="002C06B4">
              <w:trPr>
                <w:trHeight w:val="300"/>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2615BD5F" w14:textId="77777777" w:rsidR="009049C6" w:rsidRPr="003B1EA7" w:rsidRDefault="009049C6" w:rsidP="002C06B4">
                  <w:pPr>
                    <w:spacing w:after="0" w:line="240" w:lineRule="auto"/>
                    <w:jc w:val="lef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H2 CCGT</w:t>
                  </w:r>
                </w:p>
              </w:tc>
              <w:tc>
                <w:tcPr>
                  <w:tcW w:w="960" w:type="dxa"/>
                  <w:tcBorders>
                    <w:top w:val="nil"/>
                    <w:left w:val="nil"/>
                    <w:bottom w:val="single" w:sz="4" w:space="0" w:color="auto"/>
                    <w:right w:val="single" w:sz="4" w:space="0" w:color="auto"/>
                  </w:tcBorders>
                  <w:shd w:val="clear" w:color="auto" w:fill="auto"/>
                  <w:noWrap/>
                  <w:vAlign w:val="center"/>
                  <w:hideMark/>
                </w:tcPr>
                <w:p w14:paraId="2B0EBEAE"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611</w:t>
                  </w:r>
                </w:p>
              </w:tc>
              <w:tc>
                <w:tcPr>
                  <w:tcW w:w="960" w:type="dxa"/>
                  <w:tcBorders>
                    <w:top w:val="nil"/>
                    <w:left w:val="nil"/>
                    <w:bottom w:val="single" w:sz="4" w:space="0" w:color="auto"/>
                    <w:right w:val="single" w:sz="4" w:space="0" w:color="auto"/>
                  </w:tcBorders>
                  <w:shd w:val="clear" w:color="auto" w:fill="auto"/>
                  <w:noWrap/>
                  <w:vAlign w:val="center"/>
                  <w:hideMark/>
                </w:tcPr>
                <w:p w14:paraId="6FB5D287"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31</w:t>
                  </w:r>
                </w:p>
              </w:tc>
              <w:tc>
                <w:tcPr>
                  <w:tcW w:w="960" w:type="dxa"/>
                  <w:tcBorders>
                    <w:top w:val="nil"/>
                    <w:left w:val="nil"/>
                    <w:bottom w:val="single" w:sz="4" w:space="0" w:color="auto"/>
                    <w:right w:val="single" w:sz="4" w:space="0" w:color="auto"/>
                  </w:tcBorders>
                  <w:shd w:val="clear" w:color="000000" w:fill="F2F2F2"/>
                  <w:noWrap/>
                  <w:vAlign w:val="center"/>
                  <w:hideMark/>
                </w:tcPr>
                <w:p w14:paraId="2D5A8386"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7.50%</w:t>
                  </w:r>
                </w:p>
              </w:tc>
              <w:tc>
                <w:tcPr>
                  <w:tcW w:w="760" w:type="dxa"/>
                  <w:tcBorders>
                    <w:top w:val="nil"/>
                    <w:left w:val="nil"/>
                    <w:bottom w:val="single" w:sz="4" w:space="0" w:color="auto"/>
                    <w:right w:val="single" w:sz="4" w:space="0" w:color="auto"/>
                  </w:tcBorders>
                  <w:shd w:val="clear" w:color="000000" w:fill="F2F2F2"/>
                  <w:noWrap/>
                  <w:vAlign w:val="center"/>
                  <w:hideMark/>
                </w:tcPr>
                <w:p w14:paraId="04747689"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25</w:t>
                  </w:r>
                </w:p>
              </w:tc>
              <w:tc>
                <w:tcPr>
                  <w:tcW w:w="960" w:type="dxa"/>
                  <w:tcBorders>
                    <w:top w:val="nil"/>
                    <w:left w:val="nil"/>
                    <w:bottom w:val="single" w:sz="4" w:space="0" w:color="auto"/>
                    <w:right w:val="single" w:sz="4" w:space="0" w:color="auto"/>
                  </w:tcBorders>
                  <w:shd w:val="clear" w:color="000000" w:fill="F2F2F2"/>
                  <w:noWrap/>
                  <w:vAlign w:val="center"/>
                  <w:hideMark/>
                </w:tcPr>
                <w:p w14:paraId="02F42ADC"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82.44</w:t>
                  </w:r>
                </w:p>
              </w:tc>
            </w:tr>
            <w:tr w:rsidR="009049C6" w:rsidRPr="003B1EA7" w14:paraId="1F123EB9" w14:textId="77777777" w:rsidTr="002C06B4">
              <w:trPr>
                <w:trHeight w:val="300"/>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29C416A6" w14:textId="77777777" w:rsidR="009049C6" w:rsidRPr="003B1EA7" w:rsidRDefault="009049C6" w:rsidP="002C06B4">
                  <w:pPr>
                    <w:spacing w:after="0" w:line="240" w:lineRule="auto"/>
                    <w:jc w:val="lef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H2 OCGT</w:t>
                  </w:r>
                </w:p>
              </w:tc>
              <w:tc>
                <w:tcPr>
                  <w:tcW w:w="960" w:type="dxa"/>
                  <w:tcBorders>
                    <w:top w:val="nil"/>
                    <w:left w:val="nil"/>
                    <w:bottom w:val="single" w:sz="4" w:space="0" w:color="auto"/>
                    <w:right w:val="single" w:sz="4" w:space="0" w:color="auto"/>
                  </w:tcBorders>
                  <w:shd w:val="clear" w:color="auto" w:fill="auto"/>
                  <w:noWrap/>
                  <w:vAlign w:val="center"/>
                  <w:hideMark/>
                </w:tcPr>
                <w:p w14:paraId="62A5A88F"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578</w:t>
                  </w:r>
                </w:p>
              </w:tc>
              <w:tc>
                <w:tcPr>
                  <w:tcW w:w="960" w:type="dxa"/>
                  <w:tcBorders>
                    <w:top w:val="nil"/>
                    <w:left w:val="nil"/>
                    <w:bottom w:val="single" w:sz="4" w:space="0" w:color="auto"/>
                    <w:right w:val="single" w:sz="4" w:space="0" w:color="auto"/>
                  </w:tcBorders>
                  <w:shd w:val="clear" w:color="auto" w:fill="auto"/>
                  <w:noWrap/>
                  <w:vAlign w:val="center"/>
                  <w:hideMark/>
                </w:tcPr>
                <w:p w14:paraId="08405004"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31</w:t>
                  </w:r>
                </w:p>
              </w:tc>
              <w:tc>
                <w:tcPr>
                  <w:tcW w:w="960" w:type="dxa"/>
                  <w:tcBorders>
                    <w:top w:val="nil"/>
                    <w:left w:val="nil"/>
                    <w:bottom w:val="single" w:sz="4" w:space="0" w:color="auto"/>
                    <w:right w:val="single" w:sz="4" w:space="0" w:color="auto"/>
                  </w:tcBorders>
                  <w:shd w:val="clear" w:color="000000" w:fill="F2F2F2"/>
                  <w:noWrap/>
                  <w:vAlign w:val="center"/>
                  <w:hideMark/>
                </w:tcPr>
                <w:p w14:paraId="264A69AB"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7.50%</w:t>
                  </w:r>
                </w:p>
              </w:tc>
              <w:tc>
                <w:tcPr>
                  <w:tcW w:w="760" w:type="dxa"/>
                  <w:tcBorders>
                    <w:top w:val="nil"/>
                    <w:left w:val="nil"/>
                    <w:bottom w:val="single" w:sz="4" w:space="0" w:color="auto"/>
                    <w:right w:val="single" w:sz="4" w:space="0" w:color="auto"/>
                  </w:tcBorders>
                  <w:shd w:val="clear" w:color="000000" w:fill="F2F2F2"/>
                  <w:noWrap/>
                  <w:vAlign w:val="center"/>
                  <w:hideMark/>
                </w:tcPr>
                <w:p w14:paraId="0FC49227"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25</w:t>
                  </w:r>
                </w:p>
              </w:tc>
              <w:tc>
                <w:tcPr>
                  <w:tcW w:w="960" w:type="dxa"/>
                  <w:tcBorders>
                    <w:top w:val="nil"/>
                    <w:left w:val="nil"/>
                    <w:bottom w:val="single" w:sz="4" w:space="0" w:color="auto"/>
                    <w:right w:val="single" w:sz="4" w:space="0" w:color="auto"/>
                  </w:tcBorders>
                  <w:shd w:val="clear" w:color="000000" w:fill="F2F2F2"/>
                  <w:noWrap/>
                  <w:vAlign w:val="center"/>
                  <w:hideMark/>
                </w:tcPr>
                <w:p w14:paraId="03278B28"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79.73</w:t>
                  </w:r>
                </w:p>
              </w:tc>
            </w:tr>
            <w:tr w:rsidR="009049C6" w:rsidRPr="003B1EA7" w14:paraId="5164A9C6" w14:textId="77777777" w:rsidTr="002C06B4">
              <w:trPr>
                <w:trHeight w:val="300"/>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19FCF3BD" w14:textId="77777777" w:rsidR="009049C6" w:rsidRPr="003B1EA7" w:rsidRDefault="009049C6" w:rsidP="002C06B4">
                  <w:pPr>
                    <w:spacing w:after="0" w:line="240" w:lineRule="auto"/>
                    <w:jc w:val="lef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Gas CCS - CCGT</w:t>
                  </w:r>
                </w:p>
              </w:tc>
              <w:tc>
                <w:tcPr>
                  <w:tcW w:w="960" w:type="dxa"/>
                  <w:tcBorders>
                    <w:top w:val="nil"/>
                    <w:left w:val="nil"/>
                    <w:bottom w:val="single" w:sz="4" w:space="0" w:color="auto"/>
                    <w:right w:val="single" w:sz="4" w:space="0" w:color="auto"/>
                  </w:tcBorders>
                  <w:shd w:val="clear" w:color="auto" w:fill="auto"/>
                  <w:noWrap/>
                  <w:vAlign w:val="center"/>
                  <w:hideMark/>
                </w:tcPr>
                <w:p w14:paraId="181F4A71"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1,203</w:t>
                  </w:r>
                </w:p>
              </w:tc>
              <w:tc>
                <w:tcPr>
                  <w:tcW w:w="960" w:type="dxa"/>
                  <w:tcBorders>
                    <w:top w:val="nil"/>
                    <w:left w:val="nil"/>
                    <w:bottom w:val="single" w:sz="4" w:space="0" w:color="auto"/>
                    <w:right w:val="single" w:sz="4" w:space="0" w:color="auto"/>
                  </w:tcBorders>
                  <w:shd w:val="clear" w:color="auto" w:fill="auto"/>
                  <w:noWrap/>
                  <w:vAlign w:val="center"/>
                  <w:hideMark/>
                </w:tcPr>
                <w:p w14:paraId="03778E0C"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61</w:t>
                  </w:r>
                </w:p>
              </w:tc>
              <w:tc>
                <w:tcPr>
                  <w:tcW w:w="960" w:type="dxa"/>
                  <w:tcBorders>
                    <w:top w:val="nil"/>
                    <w:left w:val="nil"/>
                    <w:bottom w:val="single" w:sz="4" w:space="0" w:color="auto"/>
                    <w:right w:val="single" w:sz="4" w:space="0" w:color="auto"/>
                  </w:tcBorders>
                  <w:shd w:val="clear" w:color="000000" w:fill="F2F2F2"/>
                  <w:noWrap/>
                  <w:vAlign w:val="center"/>
                  <w:hideMark/>
                </w:tcPr>
                <w:p w14:paraId="1C91104B"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13.80%</w:t>
                  </w:r>
                </w:p>
              </w:tc>
              <w:tc>
                <w:tcPr>
                  <w:tcW w:w="760" w:type="dxa"/>
                  <w:tcBorders>
                    <w:top w:val="nil"/>
                    <w:left w:val="nil"/>
                    <w:bottom w:val="single" w:sz="4" w:space="0" w:color="auto"/>
                    <w:right w:val="single" w:sz="4" w:space="0" w:color="auto"/>
                  </w:tcBorders>
                  <w:shd w:val="clear" w:color="000000" w:fill="F2F2F2"/>
                  <w:noWrap/>
                  <w:vAlign w:val="center"/>
                  <w:hideMark/>
                </w:tcPr>
                <w:p w14:paraId="042ACDFD"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25</w:t>
                  </w:r>
                </w:p>
              </w:tc>
              <w:tc>
                <w:tcPr>
                  <w:tcW w:w="960" w:type="dxa"/>
                  <w:tcBorders>
                    <w:top w:val="nil"/>
                    <w:left w:val="nil"/>
                    <w:bottom w:val="single" w:sz="4" w:space="0" w:color="auto"/>
                    <w:right w:val="single" w:sz="4" w:space="0" w:color="auto"/>
                  </w:tcBorders>
                  <w:shd w:val="clear" w:color="000000" w:fill="F2F2F2"/>
                  <w:noWrap/>
                  <w:vAlign w:val="center"/>
                  <w:hideMark/>
                </w:tcPr>
                <w:p w14:paraId="792D13FC"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212.39</w:t>
                  </w:r>
                </w:p>
              </w:tc>
            </w:tr>
            <w:tr w:rsidR="009049C6" w:rsidRPr="003B1EA7" w14:paraId="5FFEB36B" w14:textId="77777777" w:rsidTr="002C06B4">
              <w:trPr>
                <w:trHeight w:val="300"/>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1DD1FB41" w14:textId="77777777" w:rsidR="009049C6" w:rsidRPr="003B1EA7" w:rsidRDefault="009049C6" w:rsidP="002C06B4">
                  <w:pPr>
                    <w:spacing w:after="0" w:line="240" w:lineRule="auto"/>
                    <w:jc w:val="lef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 xml:space="preserve">Nuclear - Large </w:t>
                  </w:r>
                </w:p>
              </w:tc>
              <w:tc>
                <w:tcPr>
                  <w:tcW w:w="960" w:type="dxa"/>
                  <w:tcBorders>
                    <w:top w:val="nil"/>
                    <w:left w:val="nil"/>
                    <w:bottom w:val="single" w:sz="4" w:space="0" w:color="auto"/>
                    <w:right w:val="single" w:sz="4" w:space="0" w:color="auto"/>
                  </w:tcBorders>
                  <w:shd w:val="clear" w:color="auto" w:fill="auto"/>
                  <w:vAlign w:val="center"/>
                  <w:hideMark/>
                </w:tcPr>
                <w:p w14:paraId="1BA0BCCA"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3,870</w:t>
                  </w:r>
                </w:p>
              </w:tc>
              <w:tc>
                <w:tcPr>
                  <w:tcW w:w="960" w:type="dxa"/>
                  <w:tcBorders>
                    <w:top w:val="nil"/>
                    <w:left w:val="nil"/>
                    <w:bottom w:val="single" w:sz="4" w:space="0" w:color="auto"/>
                    <w:right w:val="single" w:sz="4" w:space="0" w:color="auto"/>
                  </w:tcBorders>
                  <w:shd w:val="clear" w:color="auto" w:fill="auto"/>
                  <w:vAlign w:val="center"/>
                  <w:hideMark/>
                </w:tcPr>
                <w:p w14:paraId="00775280"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78</w:t>
                  </w:r>
                </w:p>
              </w:tc>
              <w:tc>
                <w:tcPr>
                  <w:tcW w:w="960" w:type="dxa"/>
                  <w:tcBorders>
                    <w:top w:val="nil"/>
                    <w:left w:val="nil"/>
                    <w:bottom w:val="single" w:sz="4" w:space="0" w:color="auto"/>
                    <w:right w:val="single" w:sz="4" w:space="0" w:color="auto"/>
                  </w:tcBorders>
                  <w:shd w:val="clear" w:color="000000" w:fill="F2F2F2"/>
                  <w:noWrap/>
                  <w:vAlign w:val="center"/>
                  <w:hideMark/>
                </w:tcPr>
                <w:p w14:paraId="7CA4A60E"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9.50%</w:t>
                  </w:r>
                </w:p>
              </w:tc>
              <w:tc>
                <w:tcPr>
                  <w:tcW w:w="760" w:type="dxa"/>
                  <w:tcBorders>
                    <w:top w:val="nil"/>
                    <w:left w:val="nil"/>
                    <w:bottom w:val="single" w:sz="4" w:space="0" w:color="auto"/>
                    <w:right w:val="single" w:sz="4" w:space="0" w:color="auto"/>
                  </w:tcBorders>
                  <w:shd w:val="clear" w:color="000000" w:fill="F2F2F2"/>
                  <w:noWrap/>
                  <w:vAlign w:val="center"/>
                  <w:hideMark/>
                </w:tcPr>
                <w:p w14:paraId="538351B6"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40</w:t>
                  </w:r>
                </w:p>
              </w:tc>
              <w:tc>
                <w:tcPr>
                  <w:tcW w:w="960" w:type="dxa"/>
                  <w:tcBorders>
                    <w:top w:val="nil"/>
                    <w:left w:val="nil"/>
                    <w:bottom w:val="single" w:sz="4" w:space="0" w:color="auto"/>
                    <w:right w:val="single" w:sz="4" w:space="0" w:color="auto"/>
                  </w:tcBorders>
                  <w:shd w:val="clear" w:color="000000" w:fill="F2F2F2"/>
                  <w:noWrap/>
                  <w:vAlign w:val="center"/>
                  <w:hideMark/>
                </w:tcPr>
                <w:p w14:paraId="6FE28469"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423.29</w:t>
                  </w:r>
                </w:p>
              </w:tc>
            </w:tr>
            <w:tr w:rsidR="009049C6" w:rsidRPr="003B1EA7" w14:paraId="4542CD8E" w14:textId="77777777" w:rsidTr="002C06B4">
              <w:trPr>
                <w:trHeight w:val="300"/>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14:paraId="4935F2B4" w14:textId="77777777" w:rsidR="009049C6" w:rsidRPr="003B1EA7" w:rsidRDefault="009049C6" w:rsidP="002C06B4">
                  <w:pPr>
                    <w:spacing w:after="0" w:line="240" w:lineRule="auto"/>
                    <w:jc w:val="lef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Biomass with CCS</w:t>
                  </w:r>
                </w:p>
              </w:tc>
              <w:tc>
                <w:tcPr>
                  <w:tcW w:w="960" w:type="dxa"/>
                  <w:tcBorders>
                    <w:top w:val="nil"/>
                    <w:left w:val="nil"/>
                    <w:bottom w:val="single" w:sz="4" w:space="0" w:color="auto"/>
                    <w:right w:val="single" w:sz="4" w:space="0" w:color="auto"/>
                  </w:tcBorders>
                  <w:shd w:val="clear" w:color="auto" w:fill="auto"/>
                  <w:vAlign w:val="center"/>
                  <w:hideMark/>
                </w:tcPr>
                <w:p w14:paraId="35ACAD45"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3,308</w:t>
                  </w:r>
                </w:p>
              </w:tc>
              <w:tc>
                <w:tcPr>
                  <w:tcW w:w="960" w:type="dxa"/>
                  <w:tcBorders>
                    <w:top w:val="nil"/>
                    <w:left w:val="nil"/>
                    <w:bottom w:val="single" w:sz="4" w:space="0" w:color="auto"/>
                    <w:right w:val="single" w:sz="4" w:space="0" w:color="auto"/>
                  </w:tcBorders>
                  <w:shd w:val="clear" w:color="auto" w:fill="auto"/>
                  <w:vAlign w:val="center"/>
                  <w:hideMark/>
                </w:tcPr>
                <w:p w14:paraId="3C800DA7"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33</w:t>
                  </w:r>
                </w:p>
              </w:tc>
              <w:tc>
                <w:tcPr>
                  <w:tcW w:w="960" w:type="dxa"/>
                  <w:tcBorders>
                    <w:top w:val="nil"/>
                    <w:left w:val="nil"/>
                    <w:bottom w:val="single" w:sz="4" w:space="0" w:color="auto"/>
                    <w:right w:val="single" w:sz="4" w:space="0" w:color="auto"/>
                  </w:tcBorders>
                  <w:shd w:val="clear" w:color="000000" w:fill="F2F2F2"/>
                  <w:noWrap/>
                  <w:vAlign w:val="center"/>
                  <w:hideMark/>
                </w:tcPr>
                <w:p w14:paraId="1798947D"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10%</w:t>
                  </w:r>
                </w:p>
              </w:tc>
              <w:tc>
                <w:tcPr>
                  <w:tcW w:w="760" w:type="dxa"/>
                  <w:tcBorders>
                    <w:top w:val="nil"/>
                    <w:left w:val="nil"/>
                    <w:bottom w:val="single" w:sz="4" w:space="0" w:color="auto"/>
                    <w:right w:val="single" w:sz="4" w:space="0" w:color="auto"/>
                  </w:tcBorders>
                  <w:shd w:val="clear" w:color="000000" w:fill="F2F2F2"/>
                  <w:noWrap/>
                  <w:vAlign w:val="center"/>
                  <w:hideMark/>
                </w:tcPr>
                <w:p w14:paraId="53854A90"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25</w:t>
                  </w:r>
                </w:p>
              </w:tc>
              <w:tc>
                <w:tcPr>
                  <w:tcW w:w="960" w:type="dxa"/>
                  <w:tcBorders>
                    <w:top w:val="nil"/>
                    <w:left w:val="nil"/>
                    <w:bottom w:val="single" w:sz="4" w:space="0" w:color="auto"/>
                    <w:right w:val="single" w:sz="4" w:space="0" w:color="auto"/>
                  </w:tcBorders>
                  <w:shd w:val="clear" w:color="000000" w:fill="F2F2F2"/>
                  <w:noWrap/>
                  <w:vAlign w:val="center"/>
                  <w:hideMark/>
                </w:tcPr>
                <w:p w14:paraId="3B8A5745" w14:textId="77777777" w:rsidR="009049C6" w:rsidRPr="003B1EA7" w:rsidRDefault="009049C6" w:rsidP="002C06B4">
                  <w:pPr>
                    <w:spacing w:after="0" w:line="240" w:lineRule="auto"/>
                    <w:jc w:val="right"/>
                    <w:rPr>
                      <w:rFonts w:ascii="Calibri" w:eastAsia="Times New Roman" w:hAnsi="Calibri" w:cs="Calibri"/>
                      <w:color w:val="000000"/>
                      <w:sz w:val="20"/>
                      <w:szCs w:val="20"/>
                      <w:lang w:eastAsia="en-GB"/>
                    </w:rPr>
                  </w:pPr>
                  <w:r w:rsidRPr="003B1EA7">
                    <w:rPr>
                      <w:rFonts w:ascii="Calibri" w:eastAsia="Times New Roman" w:hAnsi="Calibri" w:cs="Calibri"/>
                      <w:color w:val="000000"/>
                      <w:sz w:val="20"/>
                      <w:szCs w:val="20"/>
                      <w:lang w:eastAsia="en-GB"/>
                    </w:rPr>
                    <w:t>364.67</w:t>
                  </w:r>
                </w:p>
              </w:tc>
            </w:tr>
          </w:tbl>
          <w:p w14:paraId="2ED4921C" w14:textId="77777777" w:rsidR="009049C6" w:rsidRDefault="009049C6" w:rsidP="002C06B4">
            <w:pPr>
              <w:pStyle w:val="NormalWeb"/>
              <w:spacing w:before="0" w:beforeAutospacing="0" w:after="0" w:afterAutospacing="0"/>
              <w:jc w:val="left"/>
              <w:textAlignment w:val="bottom"/>
              <w:rPr>
                <w:rFonts w:asciiTheme="minorHAnsi" w:hAnsiTheme="minorHAnsi" w:cstheme="minorHAnsi"/>
                <w:sz w:val="22"/>
                <w:szCs w:val="22"/>
              </w:rPr>
            </w:pPr>
            <w:r>
              <w:rPr>
                <w:rFonts w:asciiTheme="minorHAnsi" w:hAnsiTheme="minorHAnsi" w:cstheme="minorHAnsi"/>
                <w:sz w:val="22"/>
                <w:szCs w:val="22"/>
              </w:rPr>
              <w:t>No unabated natural gas-fired power generation in 2050</w:t>
            </w:r>
          </w:p>
          <w:p w14:paraId="2BF607A0" w14:textId="77777777" w:rsidR="009049C6" w:rsidRPr="007E7C2C" w:rsidRDefault="009049C6" w:rsidP="002C06B4">
            <w:pPr>
              <w:pStyle w:val="NormalWeb"/>
              <w:spacing w:before="0" w:beforeAutospacing="0" w:after="0" w:afterAutospacing="0"/>
              <w:jc w:val="left"/>
              <w:textAlignment w:val="bottom"/>
              <w:rPr>
                <w:rFonts w:asciiTheme="minorHAnsi" w:hAnsiTheme="minorHAnsi" w:cstheme="minorHAnsi"/>
                <w:sz w:val="22"/>
                <w:szCs w:val="22"/>
              </w:rPr>
            </w:pPr>
          </w:p>
        </w:tc>
      </w:tr>
      <w:tr w:rsidR="009049C6" w:rsidRPr="0056306A" w14:paraId="2AB2522A" w14:textId="77777777" w:rsidTr="0BAF9C11">
        <w:tc>
          <w:tcPr>
            <w:tcW w:w="1662" w:type="dxa"/>
          </w:tcPr>
          <w:p w14:paraId="4EB9A139" w14:textId="77777777" w:rsidR="009049C6" w:rsidRDefault="009049C6" w:rsidP="002C06B4">
            <w:r>
              <w:t>Electricity interconnectors to Europe</w:t>
            </w:r>
          </w:p>
        </w:tc>
        <w:tc>
          <w:tcPr>
            <w:tcW w:w="8226" w:type="dxa"/>
          </w:tcPr>
          <w:p w14:paraId="426ADABA"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Baseline capacity: 11.7 GW</w:t>
            </w:r>
          </w:p>
          <w:p w14:paraId="1855F54D"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34B05BBF"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tbl>
            <w:tblPr>
              <w:tblStyle w:val="TableGrid"/>
              <w:tblpPr w:leftFromText="180" w:rightFromText="180" w:vertAnchor="text" w:tblpY="-318"/>
              <w:tblOverlap w:val="never"/>
              <w:tblW w:w="0" w:type="auto"/>
              <w:tblLook w:val="04A0" w:firstRow="1" w:lastRow="0" w:firstColumn="1" w:lastColumn="0" w:noHBand="0" w:noVBand="1"/>
            </w:tblPr>
            <w:tblGrid>
              <w:gridCol w:w="2418"/>
              <w:gridCol w:w="838"/>
            </w:tblGrid>
            <w:tr w:rsidR="009049C6" w14:paraId="74BFCB20" w14:textId="77777777" w:rsidTr="002C06B4">
              <w:tc>
                <w:tcPr>
                  <w:tcW w:w="2418" w:type="dxa"/>
                </w:tcPr>
                <w:p w14:paraId="6CBC80E1"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Countries</w:t>
                  </w:r>
                </w:p>
              </w:tc>
              <w:tc>
                <w:tcPr>
                  <w:tcW w:w="838" w:type="dxa"/>
                </w:tcPr>
                <w:p w14:paraId="16A9376B"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GW</w:t>
                  </w:r>
                </w:p>
              </w:tc>
            </w:tr>
            <w:tr w:rsidR="009049C6" w14:paraId="163CCDB0" w14:textId="77777777" w:rsidTr="002C06B4">
              <w:tc>
                <w:tcPr>
                  <w:tcW w:w="2418" w:type="dxa"/>
                </w:tcPr>
                <w:p w14:paraId="7CE080DC"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France</w:t>
                  </w:r>
                </w:p>
              </w:tc>
              <w:tc>
                <w:tcPr>
                  <w:tcW w:w="838" w:type="dxa"/>
                </w:tcPr>
                <w:p w14:paraId="4BBC6A0A"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5.4</w:t>
                  </w:r>
                </w:p>
              </w:tc>
            </w:tr>
            <w:tr w:rsidR="009049C6" w14:paraId="02B567A9" w14:textId="77777777" w:rsidTr="002C06B4">
              <w:tc>
                <w:tcPr>
                  <w:tcW w:w="2418" w:type="dxa"/>
                </w:tcPr>
                <w:p w14:paraId="35AB9A6D"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 xml:space="preserve">Ireland </w:t>
                  </w:r>
                </w:p>
              </w:tc>
              <w:tc>
                <w:tcPr>
                  <w:tcW w:w="838" w:type="dxa"/>
                </w:tcPr>
                <w:p w14:paraId="13501800"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1.5</w:t>
                  </w:r>
                </w:p>
              </w:tc>
            </w:tr>
            <w:tr w:rsidR="009049C6" w14:paraId="4509C1A3" w14:textId="77777777" w:rsidTr="002C06B4">
              <w:tc>
                <w:tcPr>
                  <w:tcW w:w="2418" w:type="dxa"/>
                </w:tcPr>
                <w:p w14:paraId="04565F97"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Netherlands</w:t>
                  </w:r>
                </w:p>
              </w:tc>
              <w:tc>
                <w:tcPr>
                  <w:tcW w:w="838" w:type="dxa"/>
                </w:tcPr>
                <w:p w14:paraId="009DE93F"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1</w:t>
                  </w:r>
                </w:p>
              </w:tc>
            </w:tr>
            <w:tr w:rsidR="009049C6" w14:paraId="05F02BB5" w14:textId="77777777" w:rsidTr="002C06B4">
              <w:tc>
                <w:tcPr>
                  <w:tcW w:w="2418" w:type="dxa"/>
                </w:tcPr>
                <w:p w14:paraId="225657CC"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Norway</w:t>
                  </w:r>
                </w:p>
              </w:tc>
              <w:tc>
                <w:tcPr>
                  <w:tcW w:w="838" w:type="dxa"/>
                </w:tcPr>
                <w:p w14:paraId="6572F364"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1.4</w:t>
                  </w:r>
                </w:p>
              </w:tc>
            </w:tr>
            <w:tr w:rsidR="009049C6" w14:paraId="18ED2CC8" w14:textId="77777777" w:rsidTr="002C06B4">
              <w:tc>
                <w:tcPr>
                  <w:tcW w:w="2418" w:type="dxa"/>
                </w:tcPr>
                <w:p w14:paraId="69C97334"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Belgium</w:t>
                  </w:r>
                </w:p>
              </w:tc>
              <w:tc>
                <w:tcPr>
                  <w:tcW w:w="838" w:type="dxa"/>
                </w:tcPr>
                <w:p w14:paraId="7055716C"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1</w:t>
                  </w:r>
                </w:p>
              </w:tc>
            </w:tr>
            <w:tr w:rsidR="009049C6" w14:paraId="65964330" w14:textId="77777777" w:rsidTr="002C06B4">
              <w:tc>
                <w:tcPr>
                  <w:tcW w:w="2418" w:type="dxa"/>
                </w:tcPr>
                <w:p w14:paraId="5DDBA189"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Denmark</w:t>
                  </w:r>
                </w:p>
              </w:tc>
              <w:tc>
                <w:tcPr>
                  <w:tcW w:w="838" w:type="dxa"/>
                </w:tcPr>
                <w:p w14:paraId="4DD0FD67" w14:textId="77777777" w:rsidR="009049C6" w:rsidRDefault="009049C6" w:rsidP="002C06B4">
                  <w:pPr>
                    <w:pStyle w:val="NormalWeb"/>
                    <w:spacing w:before="0" w:beforeAutospacing="0" w:after="0" w:afterAutospacing="0"/>
                    <w:jc w:val="center"/>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1.4</w:t>
                  </w:r>
                </w:p>
              </w:tc>
            </w:tr>
          </w:tbl>
          <w:p w14:paraId="509C826C"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1F4437FD"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172494B8"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716A05F9"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0B7404F7"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7CEF3398"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7F9B5370" w14:textId="77777777" w:rsidR="009049C6"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p>
          <w:p w14:paraId="04DCEE65" w14:textId="77777777" w:rsidR="009049C6" w:rsidRPr="007E7C2C"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Pr>
                <w:rFonts w:asciiTheme="minorHAnsi" w:hAnsiTheme="minorHAnsi" w:cstheme="minorHAnsi"/>
                <w:color w:val="000000"/>
                <w:kern w:val="24"/>
                <w:sz w:val="22"/>
                <w:szCs w:val="22"/>
              </w:rPr>
              <w:t>The Maximum additional capacity that can be built by 2050 is 8.3 GW bringing the maximum potential capacity to</w:t>
            </w:r>
            <w:r w:rsidRPr="007E7C2C">
              <w:rPr>
                <w:rFonts w:asciiTheme="minorHAnsi" w:hAnsiTheme="minorHAnsi" w:cstheme="minorHAnsi"/>
                <w:color w:val="000000"/>
                <w:kern w:val="24"/>
                <w:sz w:val="22"/>
                <w:szCs w:val="22"/>
              </w:rPr>
              <w:t xml:space="preserve"> </w:t>
            </w:r>
            <w:r>
              <w:rPr>
                <w:rFonts w:asciiTheme="minorHAnsi" w:hAnsiTheme="minorHAnsi" w:cstheme="minorHAnsi"/>
                <w:color w:val="000000"/>
                <w:kern w:val="24"/>
                <w:sz w:val="22"/>
                <w:szCs w:val="22"/>
              </w:rPr>
              <w:t>20</w:t>
            </w:r>
            <w:r w:rsidRPr="007E7C2C">
              <w:rPr>
                <w:rFonts w:asciiTheme="minorHAnsi" w:hAnsiTheme="minorHAnsi" w:cstheme="minorHAnsi"/>
                <w:color w:val="000000"/>
                <w:kern w:val="24"/>
                <w:sz w:val="22"/>
                <w:szCs w:val="22"/>
              </w:rPr>
              <w:t xml:space="preserve"> GW</w:t>
            </w:r>
            <w:r>
              <w:rPr>
                <w:rFonts w:asciiTheme="minorHAnsi" w:hAnsiTheme="minorHAnsi" w:cstheme="minorHAnsi"/>
                <w:color w:val="000000"/>
                <w:kern w:val="24"/>
                <w:sz w:val="22"/>
                <w:szCs w:val="22"/>
              </w:rPr>
              <w:t>.</w:t>
            </w:r>
          </w:p>
        </w:tc>
      </w:tr>
      <w:tr w:rsidR="009049C6" w:rsidRPr="0056306A" w14:paraId="4A7460A9" w14:textId="77777777" w:rsidTr="0BAF9C11">
        <w:tc>
          <w:tcPr>
            <w:tcW w:w="1662" w:type="dxa"/>
          </w:tcPr>
          <w:p w14:paraId="1606D4F3" w14:textId="77777777" w:rsidR="009049C6" w:rsidRDefault="009049C6" w:rsidP="002C06B4">
            <w:r>
              <w:lastRenderedPageBreak/>
              <w:t>Distributed storage</w:t>
            </w:r>
          </w:p>
        </w:tc>
        <w:tc>
          <w:tcPr>
            <w:tcW w:w="8226" w:type="dxa"/>
          </w:tcPr>
          <w:p w14:paraId="1F2430E4" w14:textId="77777777" w:rsidR="009049C6" w:rsidRPr="007E7C2C" w:rsidRDefault="009049C6" w:rsidP="002C06B4">
            <w:pPr>
              <w:pStyle w:val="NormalWeb"/>
              <w:spacing w:before="0" w:beforeAutospacing="0" w:after="0" w:afterAutospacing="0"/>
              <w:jc w:val="left"/>
              <w:textAlignment w:val="bottom"/>
              <w:rPr>
                <w:rFonts w:asciiTheme="minorHAnsi" w:hAnsiTheme="minorHAnsi" w:cstheme="minorHAnsi"/>
                <w:color w:val="000000"/>
                <w:kern w:val="24"/>
                <w:sz w:val="22"/>
                <w:szCs w:val="22"/>
              </w:rPr>
            </w:pPr>
            <w:r w:rsidRPr="007E7C2C">
              <w:rPr>
                <w:rFonts w:asciiTheme="minorHAnsi" w:hAnsiTheme="minorHAnsi" w:cstheme="minorHAnsi"/>
                <w:color w:val="000000"/>
                <w:kern w:val="24"/>
                <w:sz w:val="22"/>
                <w:szCs w:val="22"/>
              </w:rPr>
              <w:t>Technology: Li-Ion (grid scale &gt;50MW). CAPEX: £55/kWh (in 2050). WACC:6.5%, Lifetime: 10 years</w:t>
            </w:r>
          </w:p>
        </w:tc>
      </w:tr>
      <w:tr w:rsidR="009049C6" w:rsidRPr="0056306A" w14:paraId="0E0F7C5A" w14:textId="77777777" w:rsidTr="0BAF9C11">
        <w:tc>
          <w:tcPr>
            <w:tcW w:w="1662" w:type="dxa"/>
          </w:tcPr>
          <w:p w14:paraId="6DAD1852" w14:textId="77777777" w:rsidR="009049C6" w:rsidRPr="0056306A" w:rsidRDefault="009049C6" w:rsidP="002C06B4">
            <w:r w:rsidRPr="0056306A">
              <w:t>Heat decarbonisation</w:t>
            </w:r>
          </w:p>
        </w:tc>
        <w:tc>
          <w:tcPr>
            <w:tcW w:w="8226" w:type="dxa"/>
          </w:tcPr>
          <w:p w14:paraId="248AF555" w14:textId="77777777" w:rsidR="009049C6" w:rsidRPr="0056306A" w:rsidRDefault="009049C6" w:rsidP="002C06B4">
            <w:r w:rsidRPr="0056306A">
              <w:t>Few possible pathways for on-gas-grid customers:</w:t>
            </w:r>
          </w:p>
          <w:p w14:paraId="01F274F5" w14:textId="77777777" w:rsidR="009049C6" w:rsidRPr="0056306A" w:rsidRDefault="009049C6" w:rsidP="009049C6">
            <w:pPr>
              <w:pStyle w:val="ListParagraph"/>
              <w:numPr>
                <w:ilvl w:val="0"/>
                <w:numId w:val="9"/>
              </w:numPr>
            </w:pPr>
            <w:r w:rsidRPr="0056306A">
              <w:t>Electrification (a combination between ASHP and resistive heating)</w:t>
            </w:r>
          </w:p>
          <w:p w14:paraId="4D7D7B86" w14:textId="77777777" w:rsidR="009049C6" w:rsidRPr="0056306A" w:rsidRDefault="009049C6" w:rsidP="009049C6">
            <w:pPr>
              <w:pStyle w:val="ListParagraph"/>
              <w:numPr>
                <w:ilvl w:val="0"/>
                <w:numId w:val="9"/>
              </w:numPr>
            </w:pPr>
            <w:r w:rsidRPr="0056306A">
              <w:t>Hydrogen boiler</w:t>
            </w:r>
          </w:p>
          <w:p w14:paraId="61F89713" w14:textId="77777777" w:rsidR="009049C6" w:rsidRPr="0056306A" w:rsidRDefault="009049C6" w:rsidP="002C06B4">
            <w:r w:rsidRPr="0056306A">
              <w:t>District heating networks (DHNs) supply 20% of heat demand.</w:t>
            </w:r>
          </w:p>
          <w:p w14:paraId="18C8AB1E" w14:textId="77777777" w:rsidR="009049C6" w:rsidRPr="0056306A" w:rsidRDefault="009049C6" w:rsidP="002C06B4">
            <w:r w:rsidRPr="0056306A">
              <w:t>DHNs are in urban areas only and supplied by G/WSHP with a flat COP (3).</w:t>
            </w:r>
          </w:p>
          <w:p w14:paraId="655950FF" w14:textId="77777777" w:rsidR="009049C6" w:rsidRPr="0056306A" w:rsidRDefault="009049C6" w:rsidP="002C06B4">
            <w:r w:rsidRPr="0056306A">
              <w:t>The heat demand of off-gas-grid customers is supplied by electric heating.</w:t>
            </w:r>
          </w:p>
          <w:p w14:paraId="2E854232" w14:textId="77777777" w:rsidR="009049C6" w:rsidRPr="0056306A" w:rsidRDefault="009049C6" w:rsidP="002C06B4">
            <w:r w:rsidRPr="0056306A">
              <w:t>ASHP needs at least 2kWh thermal storage. DHN storage is around 20kWh/household.</w:t>
            </w:r>
          </w:p>
          <w:p w14:paraId="49493FCC" w14:textId="77777777" w:rsidR="009049C6" w:rsidRPr="0056306A" w:rsidRDefault="009049C6" w:rsidP="002C06B4"/>
          <w:p w14:paraId="1A214177" w14:textId="77777777" w:rsidR="009049C6" w:rsidRPr="0056306A" w:rsidRDefault="009049C6" w:rsidP="002C06B4">
            <w:r w:rsidRPr="0056306A">
              <w:t>The model optimises additional thermal storage.</w:t>
            </w:r>
          </w:p>
          <w:p w14:paraId="08D9293B" w14:textId="77777777" w:rsidR="009049C6" w:rsidRPr="0056306A" w:rsidRDefault="009049C6" w:rsidP="002C06B4"/>
        </w:tc>
      </w:tr>
      <w:tr w:rsidR="009049C6" w:rsidRPr="0056306A" w14:paraId="2A4D06C2" w14:textId="77777777" w:rsidTr="0BAF9C11">
        <w:tc>
          <w:tcPr>
            <w:tcW w:w="1662" w:type="dxa"/>
          </w:tcPr>
          <w:p w14:paraId="032239DA" w14:textId="77777777" w:rsidR="009049C6" w:rsidRPr="0056306A" w:rsidRDefault="009049C6" w:rsidP="002C06B4">
            <w:r w:rsidRPr="0056306A">
              <w:t>Hydrogen technologies</w:t>
            </w:r>
          </w:p>
        </w:tc>
        <w:tc>
          <w:tcPr>
            <w:tcW w:w="8226" w:type="dxa"/>
          </w:tcPr>
          <w:p w14:paraId="531219AA" w14:textId="77777777" w:rsidR="009049C6" w:rsidRPr="0056306A" w:rsidRDefault="009049C6" w:rsidP="002C06B4">
            <w:r w:rsidRPr="0056306A">
              <w:t>Three main hydrogen production technologies:</w:t>
            </w:r>
          </w:p>
          <w:p w14:paraId="786F74CF" w14:textId="77777777" w:rsidR="009049C6" w:rsidRPr="0056306A" w:rsidRDefault="009049C6" w:rsidP="009049C6">
            <w:pPr>
              <w:pStyle w:val="ListParagraph"/>
              <w:numPr>
                <w:ilvl w:val="0"/>
                <w:numId w:val="10"/>
              </w:numPr>
            </w:pPr>
            <w:r w:rsidRPr="0056306A">
              <w:t xml:space="preserve">Auto Thermal Reformers with CCUS </w:t>
            </w:r>
          </w:p>
          <w:p w14:paraId="66E1292D" w14:textId="77777777" w:rsidR="009049C6" w:rsidRPr="0056306A" w:rsidRDefault="009049C6" w:rsidP="009049C6">
            <w:pPr>
              <w:pStyle w:val="ListParagraph"/>
              <w:numPr>
                <w:ilvl w:val="0"/>
                <w:numId w:val="10"/>
              </w:numPr>
            </w:pPr>
            <w:r w:rsidRPr="0056306A">
              <w:t>Electrolysis (Proton Exchange Membrane, Alkaline, and Solid Oxide)</w:t>
            </w:r>
          </w:p>
          <w:p w14:paraId="66F5867A" w14:textId="77777777" w:rsidR="009049C6" w:rsidRPr="0056306A" w:rsidRDefault="009049C6" w:rsidP="009049C6">
            <w:pPr>
              <w:pStyle w:val="ListParagraph"/>
              <w:numPr>
                <w:ilvl w:val="0"/>
                <w:numId w:val="10"/>
              </w:numPr>
            </w:pPr>
            <w:r w:rsidRPr="0056306A">
              <w:t>BECCS (gasification)</w:t>
            </w:r>
          </w:p>
          <w:p w14:paraId="7434DC12" w14:textId="77777777" w:rsidR="009049C6" w:rsidRDefault="009049C6" w:rsidP="002C06B4">
            <w:r w:rsidRPr="0056306A">
              <w:rPr>
                <w:noProof/>
                <w:lang w:eastAsia="en-GB"/>
              </w:rPr>
              <w:drawing>
                <wp:inline distT="0" distB="0" distL="0" distR="0" wp14:anchorId="46CE6D85" wp14:editId="784C7083">
                  <wp:extent cx="5082227" cy="1311966"/>
                  <wp:effectExtent l="0" t="0" r="0" b="0"/>
                  <wp:docPr id="972685084" name="Picture 972685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22419" cy="1348156"/>
                          </a:xfrm>
                          <a:prstGeom prst="rect">
                            <a:avLst/>
                          </a:prstGeom>
                          <a:noFill/>
                          <a:ln>
                            <a:noFill/>
                          </a:ln>
                        </pic:spPr>
                      </pic:pic>
                    </a:graphicData>
                  </a:graphic>
                </wp:inline>
              </w:drawing>
            </w:r>
          </w:p>
          <w:p w14:paraId="2AEB9201" w14:textId="77777777" w:rsidR="009049C6" w:rsidRPr="0056306A" w:rsidRDefault="009049C6" w:rsidP="002C06B4">
            <w:pPr>
              <w:pStyle w:val="Bodytext1"/>
            </w:pPr>
            <w:r>
              <w:t>Unless otherwise stated, t</w:t>
            </w:r>
            <w:r w:rsidRPr="0056306A">
              <w:t xml:space="preserve">he study also assumes that hydrogen production in the </w:t>
            </w:r>
            <w:r>
              <w:t>GB</w:t>
            </w:r>
            <w:r w:rsidRPr="0056306A">
              <w:t xml:space="preserve"> should be sufficient to meet the hydrogen demand. </w:t>
            </w:r>
          </w:p>
        </w:tc>
      </w:tr>
      <w:tr w:rsidR="009049C6" w:rsidRPr="0056306A" w14:paraId="3B249173" w14:textId="77777777" w:rsidTr="0BAF9C11">
        <w:tc>
          <w:tcPr>
            <w:tcW w:w="1662" w:type="dxa"/>
          </w:tcPr>
          <w:p w14:paraId="68090482" w14:textId="77777777" w:rsidR="009049C6" w:rsidRPr="0056306A" w:rsidRDefault="009049C6" w:rsidP="002C06B4">
            <w:r w:rsidRPr="0056306A">
              <w:t>Hydrogen storage</w:t>
            </w:r>
          </w:p>
        </w:tc>
        <w:tc>
          <w:tcPr>
            <w:tcW w:w="8226" w:type="dxa"/>
          </w:tcPr>
          <w:p w14:paraId="3CFEECBB" w14:textId="77777777" w:rsidR="009049C6" w:rsidRPr="0056306A" w:rsidRDefault="009049C6" w:rsidP="002C06B4">
            <w:r w:rsidRPr="0056306A">
              <w:t>Two technologies:</w:t>
            </w:r>
          </w:p>
          <w:p w14:paraId="1ACCA54B" w14:textId="77777777" w:rsidR="009049C6" w:rsidRPr="0056306A" w:rsidRDefault="009049C6" w:rsidP="009049C6">
            <w:pPr>
              <w:pStyle w:val="ListParagraph"/>
              <w:numPr>
                <w:ilvl w:val="0"/>
                <w:numId w:val="10"/>
              </w:numPr>
            </w:pPr>
            <w:r w:rsidRPr="0056306A">
              <w:t xml:space="preserve">Underground storage (Cheshire Basin, East Yorkshire, East Irish </w:t>
            </w:r>
            <w:proofErr w:type="gramStart"/>
            <w:r w:rsidRPr="0056306A">
              <w:t>Sea</w:t>
            </w:r>
            <w:proofErr w:type="gramEnd"/>
            <w:r w:rsidRPr="0056306A">
              <w:t xml:space="preserve"> and Wessex)</w:t>
            </w:r>
          </w:p>
          <w:p w14:paraId="37EDDC2E" w14:textId="77777777" w:rsidR="009049C6" w:rsidRPr="0056306A" w:rsidRDefault="009049C6" w:rsidP="009049C6">
            <w:pPr>
              <w:pStyle w:val="ListParagraph"/>
              <w:numPr>
                <w:ilvl w:val="0"/>
                <w:numId w:val="10"/>
              </w:numPr>
            </w:pPr>
            <w:r w:rsidRPr="0056306A">
              <w:t>Overground storage – around 350 GWh distributed storage is needed to enable meeting hydrogen peak demand</w:t>
            </w:r>
          </w:p>
        </w:tc>
      </w:tr>
      <w:tr w:rsidR="009049C6" w:rsidRPr="0056306A" w14:paraId="4D887232" w14:textId="77777777" w:rsidTr="0BAF9C11">
        <w:tc>
          <w:tcPr>
            <w:tcW w:w="1662" w:type="dxa"/>
          </w:tcPr>
          <w:p w14:paraId="04ECC039" w14:textId="77777777" w:rsidR="009049C6" w:rsidRPr="0056306A" w:rsidRDefault="009049C6" w:rsidP="002C06B4">
            <w:r w:rsidRPr="0056306A">
              <w:t>Hydrogen network</w:t>
            </w:r>
          </w:p>
        </w:tc>
        <w:tc>
          <w:tcPr>
            <w:tcW w:w="8226" w:type="dxa"/>
          </w:tcPr>
          <w:p w14:paraId="0996FD36" w14:textId="77777777" w:rsidR="009049C6" w:rsidRPr="0056306A" w:rsidRDefault="009049C6" w:rsidP="002C06B4">
            <w:r>
              <w:t>The n</w:t>
            </w:r>
            <w:r w:rsidRPr="0056306A">
              <w:t>atural gas National Transmission System</w:t>
            </w:r>
            <w:r>
              <w:t xml:space="preserve"> will be repurposed and hydrogen compatible.</w:t>
            </w:r>
          </w:p>
          <w:p w14:paraId="007CC46E" w14:textId="77777777" w:rsidR="009049C6" w:rsidRPr="0056306A" w:rsidRDefault="009049C6" w:rsidP="002C06B4">
            <w:r w:rsidRPr="0056306A">
              <w:t>Gas distribution will be hydrogen compatible in 2050</w:t>
            </w:r>
          </w:p>
        </w:tc>
      </w:tr>
      <w:tr w:rsidR="009049C6" w:rsidRPr="0056306A" w14:paraId="284830F3" w14:textId="77777777" w:rsidTr="0BAF9C11">
        <w:tc>
          <w:tcPr>
            <w:tcW w:w="1662" w:type="dxa"/>
          </w:tcPr>
          <w:p w14:paraId="0691D7E3" w14:textId="77777777" w:rsidR="009049C6" w:rsidRPr="0056306A" w:rsidRDefault="009049C6" w:rsidP="002C06B4">
            <w:r w:rsidRPr="0056306A">
              <w:t>Gas price</w:t>
            </w:r>
          </w:p>
        </w:tc>
        <w:tc>
          <w:tcPr>
            <w:tcW w:w="8226" w:type="dxa"/>
          </w:tcPr>
          <w:p w14:paraId="2413D7BD" w14:textId="77777777" w:rsidR="009049C6" w:rsidRPr="0056306A" w:rsidRDefault="009049C6" w:rsidP="002C06B4">
            <w:r>
              <w:t>£</w:t>
            </w:r>
            <w:r w:rsidRPr="0056306A">
              <w:t>2</w:t>
            </w:r>
            <w:r>
              <w:t>3.67</w:t>
            </w:r>
            <w:r w:rsidRPr="0056306A">
              <w:t>/</w:t>
            </w:r>
            <w:r>
              <w:t>M</w:t>
            </w:r>
            <w:r w:rsidRPr="0056306A">
              <w:t>Wh</w:t>
            </w:r>
            <w:r>
              <w:t xml:space="preserve"> </w:t>
            </w:r>
          </w:p>
        </w:tc>
      </w:tr>
      <w:tr w:rsidR="009049C6" w:rsidRPr="0056306A" w14:paraId="3FD0195C" w14:textId="77777777" w:rsidTr="0BAF9C11">
        <w:tc>
          <w:tcPr>
            <w:tcW w:w="1662" w:type="dxa"/>
          </w:tcPr>
          <w:p w14:paraId="748A9219" w14:textId="77777777" w:rsidR="009049C6" w:rsidRPr="0056306A" w:rsidRDefault="009049C6" w:rsidP="002C06B4">
            <w:r w:rsidRPr="0056306A">
              <w:t xml:space="preserve">Demand flexibility </w:t>
            </w:r>
          </w:p>
        </w:tc>
        <w:tc>
          <w:tcPr>
            <w:tcW w:w="8226" w:type="dxa"/>
          </w:tcPr>
          <w:p w14:paraId="0313AF4A" w14:textId="77777777" w:rsidR="009049C6" w:rsidRPr="0056306A" w:rsidRDefault="009049C6" w:rsidP="002C06B4">
            <w:r w:rsidRPr="0056306A">
              <w:t>Maximum potential flexibility:</w:t>
            </w:r>
          </w:p>
          <w:p w14:paraId="25385412" w14:textId="77777777" w:rsidR="009049C6" w:rsidRPr="0056306A" w:rsidRDefault="009049C6" w:rsidP="009049C6">
            <w:pPr>
              <w:pStyle w:val="ListParagraph"/>
              <w:numPr>
                <w:ilvl w:val="0"/>
                <w:numId w:val="10"/>
              </w:numPr>
            </w:pPr>
            <w:r w:rsidRPr="0056306A">
              <w:t xml:space="preserve">20% </w:t>
            </w:r>
            <w:r>
              <w:t>of</w:t>
            </w:r>
            <w:r w:rsidRPr="0056306A">
              <w:t xml:space="preserve"> Industrial and Commercial customers</w:t>
            </w:r>
          </w:p>
          <w:p w14:paraId="7CFDF421" w14:textId="77777777" w:rsidR="009049C6" w:rsidRPr="0056306A" w:rsidRDefault="009049C6" w:rsidP="009049C6">
            <w:pPr>
              <w:pStyle w:val="ListParagraph"/>
              <w:numPr>
                <w:ilvl w:val="0"/>
                <w:numId w:val="10"/>
              </w:numPr>
            </w:pPr>
            <w:r w:rsidRPr="0056306A">
              <w:t xml:space="preserve">40% </w:t>
            </w:r>
            <w:r>
              <w:t>of</w:t>
            </w:r>
            <w:r w:rsidRPr="0056306A">
              <w:t xml:space="preserve"> smart appliances</w:t>
            </w:r>
          </w:p>
          <w:p w14:paraId="358B92AB" w14:textId="77777777" w:rsidR="009049C6" w:rsidRPr="0056306A" w:rsidRDefault="009049C6" w:rsidP="009049C6">
            <w:pPr>
              <w:pStyle w:val="ListParagraph"/>
              <w:numPr>
                <w:ilvl w:val="0"/>
                <w:numId w:val="10"/>
              </w:numPr>
            </w:pPr>
            <w:r w:rsidRPr="0056306A">
              <w:t xml:space="preserve">80% </w:t>
            </w:r>
            <w:r>
              <w:t>of</w:t>
            </w:r>
            <w:r w:rsidRPr="0056306A">
              <w:t xml:space="preserve"> smart EV</w:t>
            </w:r>
          </w:p>
          <w:p w14:paraId="46868D8D" w14:textId="77777777" w:rsidR="009049C6" w:rsidRPr="0056306A" w:rsidRDefault="009049C6" w:rsidP="002C06B4">
            <w:r w:rsidRPr="0056306A">
              <w:t>Heat storage is used to modulate the heat-led electricity demand.</w:t>
            </w:r>
          </w:p>
          <w:p w14:paraId="32F1357D" w14:textId="77777777" w:rsidR="009049C6" w:rsidRPr="0056306A" w:rsidRDefault="009049C6" w:rsidP="002C06B4">
            <w:r w:rsidRPr="0056306A">
              <w:t>Flexibility services include load-shifting for arbitrage, capacity, network congestion, and ancillary services (frequency response and reserves)</w:t>
            </w:r>
          </w:p>
          <w:p w14:paraId="6A9DB906" w14:textId="77777777" w:rsidR="009049C6" w:rsidRPr="0056306A" w:rsidRDefault="009049C6" w:rsidP="002C06B4"/>
        </w:tc>
      </w:tr>
      <w:tr w:rsidR="009049C6" w:rsidRPr="0056306A" w14:paraId="7B5BDF09" w14:textId="77777777" w:rsidTr="0BAF9C11">
        <w:tc>
          <w:tcPr>
            <w:tcW w:w="1662" w:type="dxa"/>
          </w:tcPr>
          <w:p w14:paraId="2D69B3C4" w14:textId="77777777" w:rsidR="009049C6" w:rsidRPr="0056306A" w:rsidRDefault="009049C6" w:rsidP="002C06B4">
            <w:r w:rsidRPr="0056306A">
              <w:t xml:space="preserve">Optimisation </w:t>
            </w:r>
            <w:r>
              <w:t>approach</w:t>
            </w:r>
          </w:p>
        </w:tc>
        <w:tc>
          <w:tcPr>
            <w:tcW w:w="8226" w:type="dxa"/>
          </w:tcPr>
          <w:p w14:paraId="4B223BC5" w14:textId="77777777" w:rsidR="009049C6" w:rsidRPr="0056306A" w:rsidRDefault="009049C6" w:rsidP="002C06B4">
            <w:r>
              <w:t>Whole-system approach – all system components are optimised to reduce the system costs.</w:t>
            </w:r>
          </w:p>
        </w:tc>
      </w:tr>
      <w:tr w:rsidR="009049C6" w:rsidRPr="0056306A" w14:paraId="541F10A5" w14:textId="77777777" w:rsidTr="0BAF9C11">
        <w:tc>
          <w:tcPr>
            <w:tcW w:w="1662" w:type="dxa"/>
          </w:tcPr>
          <w:p w14:paraId="0E8860BF" w14:textId="77777777" w:rsidR="009049C6" w:rsidRPr="0056306A" w:rsidRDefault="009049C6" w:rsidP="002C06B4">
            <w:r w:rsidRPr="0056306A">
              <w:t>Distribution network cost</w:t>
            </w:r>
          </w:p>
        </w:tc>
        <w:tc>
          <w:tcPr>
            <w:tcW w:w="8226" w:type="dxa"/>
          </w:tcPr>
          <w:p w14:paraId="20F43842" w14:textId="77777777" w:rsidR="009049C6" w:rsidRPr="0056306A" w:rsidRDefault="009049C6" w:rsidP="002C06B4">
            <w:r w:rsidRPr="0056306A">
              <w:t xml:space="preserve">The cost function is derived using representative fractal networks considering GB distribution network characteristics for urban and rural systems with different customer densities. 14 DNO regions are modelled. </w:t>
            </w:r>
          </w:p>
        </w:tc>
      </w:tr>
    </w:tbl>
    <w:p w14:paraId="011FB8B9" w14:textId="68428B52" w:rsidR="007A3883" w:rsidRPr="0056306A" w:rsidRDefault="007A3883" w:rsidP="00903EB8"/>
    <w:p w14:paraId="670D1673" w14:textId="297D2FB9" w:rsidR="001913F6" w:rsidRPr="0056306A" w:rsidRDefault="001913F6" w:rsidP="00CF17A5">
      <w:pPr>
        <w:pStyle w:val="Appendix1"/>
        <w:numPr>
          <w:ilvl w:val="0"/>
          <w:numId w:val="8"/>
        </w:numPr>
        <w:rPr>
          <w:lang w:val="en-GB"/>
        </w:rPr>
      </w:pPr>
      <w:bookmarkStart w:id="57" w:name="_Ref76116676"/>
      <w:bookmarkStart w:id="58" w:name="_Toc135829979"/>
      <w:r w:rsidRPr="0056306A">
        <w:rPr>
          <w:lang w:val="en-GB"/>
        </w:rPr>
        <w:lastRenderedPageBreak/>
        <w:t>Modelling approach</w:t>
      </w:r>
      <w:bookmarkEnd w:id="57"/>
      <w:bookmarkEnd w:id="58"/>
    </w:p>
    <w:p w14:paraId="1B0F02A2" w14:textId="77777777" w:rsidR="00261774" w:rsidRPr="0056306A" w:rsidRDefault="00261774" w:rsidP="00903EB8">
      <w:pPr>
        <w:rPr>
          <w:lang w:eastAsia="ja-JP"/>
        </w:rPr>
      </w:pPr>
    </w:p>
    <w:p w14:paraId="3F4E4AD2" w14:textId="0A79F885" w:rsidR="001913F6" w:rsidRPr="0056306A" w:rsidRDefault="001913F6" w:rsidP="001D2ACE">
      <w:pPr>
        <w:pStyle w:val="Bodytext1"/>
      </w:pPr>
      <w:r w:rsidRPr="0056306A">
        <w:rPr>
          <w:noProof/>
        </w:rPr>
        <w:t>To study</w:t>
      </w:r>
      <w:r w:rsidRPr="0056306A">
        <w:t xml:space="preserve"> the interaction between multi-energy vectors and analyse the impacts of alternative decarbonisation strategies on the UK energy infrastructure in 2050, a range of scenarios can be simulated and optimised using </w:t>
      </w:r>
      <w:r w:rsidR="000B112E">
        <w:t>Imperial's Integrated Whole-Energy System (IWES) mode</w:t>
      </w:r>
      <w:r w:rsidRPr="0056306A">
        <w:t xml:space="preserve">l. The IWES model incorporates detailed modelling of the electricity system and heating options, including district heating, heat network, heat pumps (air/ground source, </w:t>
      </w:r>
      <w:r w:rsidR="003F4830">
        <w:t>H</w:t>
      </w:r>
      <w:r w:rsidRPr="0056306A">
        <w:t xml:space="preserve">ybrid), and hydrogen infrastructure. IWES models the complex interactions across those energy vectors, as shown in </w:t>
      </w:r>
      <w:r w:rsidR="00A5545C" w:rsidRPr="0056306A">
        <w:fldChar w:fldCharType="begin"/>
      </w:r>
      <w:r w:rsidR="00A5545C" w:rsidRPr="0056306A">
        <w:instrText xml:space="preserve"> REF _Ref76920738 \h </w:instrText>
      </w:r>
      <w:r w:rsidR="0056306A">
        <w:instrText xml:space="preserve"> \* MERGEFORMAT </w:instrText>
      </w:r>
      <w:r w:rsidR="00A5545C" w:rsidRPr="0056306A">
        <w:fldChar w:fldCharType="separate"/>
      </w:r>
      <w:r w:rsidR="00080C1D" w:rsidRPr="0056306A">
        <w:t xml:space="preserve">Figure B- </w:t>
      </w:r>
      <w:r w:rsidR="00080C1D">
        <w:rPr>
          <w:noProof/>
        </w:rPr>
        <w:t>1</w:t>
      </w:r>
      <w:r w:rsidR="00A5545C" w:rsidRPr="0056306A">
        <w:fldChar w:fldCharType="end"/>
      </w:r>
      <w:r w:rsidRPr="0056306A">
        <w:t xml:space="preserve">. </w:t>
      </w:r>
    </w:p>
    <w:p w14:paraId="39993D45" w14:textId="77777777" w:rsidR="001913F6" w:rsidRPr="0056306A" w:rsidRDefault="001913F6" w:rsidP="0052564B">
      <w:pPr>
        <w:pStyle w:val="Bodytext1"/>
        <w:jc w:val="center"/>
      </w:pPr>
      <w:r w:rsidRPr="0056306A">
        <w:rPr>
          <w:noProof/>
        </w:rPr>
        <w:drawing>
          <wp:inline distT="0" distB="0" distL="0" distR="0" wp14:anchorId="261EFF85" wp14:editId="0E3D4B17">
            <wp:extent cx="4983764" cy="3267075"/>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7">
                      <a:extLst>
                        <a:ext uri="{28A0092B-C50C-407E-A947-70E740481C1C}">
                          <a14:useLocalDpi xmlns:a14="http://schemas.microsoft.com/office/drawing/2010/main" val="0"/>
                        </a:ext>
                      </a:extLst>
                    </a:blip>
                    <a:stretch>
                      <a:fillRect/>
                    </a:stretch>
                  </pic:blipFill>
                  <pic:spPr>
                    <a:xfrm>
                      <a:off x="0" y="0"/>
                      <a:ext cx="4983764" cy="3267075"/>
                    </a:xfrm>
                    <a:prstGeom prst="rect">
                      <a:avLst/>
                    </a:prstGeom>
                  </pic:spPr>
                </pic:pic>
              </a:graphicData>
            </a:graphic>
          </wp:inline>
        </w:drawing>
      </w:r>
    </w:p>
    <w:p w14:paraId="46D057E2" w14:textId="5138C38D" w:rsidR="001913F6" w:rsidRPr="0056306A" w:rsidRDefault="00184B3F" w:rsidP="00184B3F">
      <w:pPr>
        <w:pStyle w:val="Caption"/>
      </w:pPr>
      <w:bookmarkStart w:id="59" w:name="_Ref76920738"/>
      <w:r w:rsidRPr="0056306A">
        <w:t xml:space="preserve">Figure B- </w:t>
      </w:r>
      <w:r>
        <w:fldChar w:fldCharType="begin"/>
      </w:r>
      <w:r>
        <w:instrText>SEQ Figure_B- \* ARABIC</w:instrText>
      </w:r>
      <w:r>
        <w:fldChar w:fldCharType="separate"/>
      </w:r>
      <w:r w:rsidR="00080C1D">
        <w:rPr>
          <w:noProof/>
        </w:rPr>
        <w:t>1</w:t>
      </w:r>
      <w:r>
        <w:fldChar w:fldCharType="end"/>
      </w:r>
      <w:bookmarkEnd w:id="59"/>
      <w:r w:rsidR="00A5545C" w:rsidRPr="0056306A">
        <w:t xml:space="preserve"> </w:t>
      </w:r>
      <w:r w:rsidR="001913F6" w:rsidRPr="0056306A">
        <w:t xml:space="preserve">Interaction between gas, heat, and electricity </w:t>
      </w:r>
      <w:proofErr w:type="gramStart"/>
      <w:r w:rsidR="001913F6" w:rsidRPr="0056306A">
        <w:t>systems</w:t>
      </w:r>
      <w:proofErr w:type="gramEnd"/>
    </w:p>
    <w:p w14:paraId="41C84E72" w14:textId="085EBAC9" w:rsidR="001913F6" w:rsidRPr="0056306A" w:rsidRDefault="001913F6" w:rsidP="001D2ACE">
      <w:pPr>
        <w:pStyle w:val="Bodytext1"/>
      </w:pPr>
      <w:r w:rsidRPr="0056306A">
        <w:t xml:space="preserve">In IWES, the </w:t>
      </w:r>
      <w:r w:rsidR="00A5545C" w:rsidRPr="0056306A">
        <w:t>multi-energy system</w:t>
      </w:r>
      <w:r w:rsidR="00CF17A5">
        <w:t>'</w:t>
      </w:r>
      <w:r w:rsidR="00A5545C" w:rsidRPr="0056306A">
        <w:t>s short-term operation and long-term investment decisions</w:t>
      </w:r>
      <w:r w:rsidRPr="0056306A">
        <w:t xml:space="preserve"> are optimised simultaneously to minimise the overall system costs by maximising synergies in system expansion planning and operation within agreed constraints</w:t>
      </w:r>
      <w:r w:rsidR="000B112E">
        <w:t>,</w:t>
      </w:r>
      <w:r w:rsidRPr="0056306A">
        <w:t xml:space="preserve"> such as a specified carbon target. The model covers both </w:t>
      </w:r>
      <w:r w:rsidR="00A5545C" w:rsidRPr="0056306A">
        <w:t>local district and national/international level energy infrastructure details</w:t>
      </w:r>
      <w:r w:rsidRPr="0056306A">
        <w:t xml:space="preserve">, including energy-flow interactions with mainland Europe via interconnectors, as illustrated in </w:t>
      </w:r>
      <w:r w:rsidR="001C217C" w:rsidRPr="0056306A">
        <w:fldChar w:fldCharType="begin"/>
      </w:r>
      <w:r w:rsidR="001C217C" w:rsidRPr="0056306A">
        <w:instrText xml:space="preserve"> REF _Ref76980231 \h </w:instrText>
      </w:r>
      <w:r w:rsidR="0056306A">
        <w:instrText xml:space="preserve"> \* MERGEFORMAT </w:instrText>
      </w:r>
      <w:r w:rsidR="001C217C" w:rsidRPr="0056306A">
        <w:fldChar w:fldCharType="separate"/>
      </w:r>
      <w:r w:rsidR="00080C1D" w:rsidRPr="0056306A">
        <w:t xml:space="preserve">Figure B- </w:t>
      </w:r>
      <w:r w:rsidR="00080C1D">
        <w:rPr>
          <w:noProof/>
        </w:rPr>
        <w:t>2</w:t>
      </w:r>
      <w:r w:rsidR="001C217C" w:rsidRPr="0056306A">
        <w:fldChar w:fldCharType="end"/>
      </w:r>
      <w:r w:rsidRPr="0056306A">
        <w:t xml:space="preserve">. This functionality is essential since those aspects are complexly intertwined and </w:t>
      </w:r>
      <w:r w:rsidR="000B112E">
        <w:t>must</w:t>
      </w:r>
      <w:r w:rsidRPr="0056306A">
        <w:t xml:space="preserve"> be analysed simultaneously in the whole-energy system context. </w:t>
      </w:r>
    </w:p>
    <w:p w14:paraId="3C7640FC" w14:textId="1AF4002D" w:rsidR="001913F6" w:rsidRPr="0056306A" w:rsidRDefault="001913F6" w:rsidP="001D2ACE">
      <w:pPr>
        <w:pStyle w:val="Bodytext1"/>
        <w:rPr>
          <w:noProof/>
        </w:rPr>
      </w:pPr>
      <w:r w:rsidRPr="0056306A">
        <w:t>The GB energy system is divided into 14 regions following the distribution network areas to provide sufficient spatial granularity to capture the regional characteristics. Each region has two (or more) different representative district characteristics (e.g. urban and rural systems). IWES also considers the interactions between the GB energy system, Ireland, and continental Europe</w:t>
      </w:r>
      <w:r w:rsidR="000B112E">
        <w:t>, cross-border energy exchange,</w:t>
      </w:r>
      <w:r w:rsidRPr="0056306A">
        <w:t xml:space="preserve"> and sharing capacity and flexibility. </w:t>
      </w:r>
    </w:p>
    <w:p w14:paraId="1FA7C7A9" w14:textId="77777777" w:rsidR="001913F6" w:rsidRPr="0056306A" w:rsidRDefault="2640084E" w:rsidP="001D2ACE">
      <w:pPr>
        <w:pStyle w:val="Bodytext1"/>
      </w:pPr>
      <w:r w:rsidRPr="0056306A">
        <w:rPr>
          <w:noProof/>
        </w:rPr>
        <w:lastRenderedPageBreak/>
        <w:drawing>
          <wp:inline distT="0" distB="0" distL="0" distR="0" wp14:anchorId="6076668E" wp14:editId="2E7DAA89">
            <wp:extent cx="4762400" cy="3005593"/>
            <wp:effectExtent l="0" t="0" r="635"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38">
                      <a:extLst>
                        <a:ext uri="{28A0092B-C50C-407E-A947-70E740481C1C}">
                          <a14:useLocalDpi xmlns:a14="http://schemas.microsoft.com/office/drawing/2010/main" val="0"/>
                        </a:ext>
                      </a:extLst>
                    </a:blip>
                    <a:stretch>
                      <a:fillRect/>
                    </a:stretch>
                  </pic:blipFill>
                  <pic:spPr>
                    <a:xfrm>
                      <a:off x="0" y="0"/>
                      <a:ext cx="4762400" cy="3005593"/>
                    </a:xfrm>
                    <a:prstGeom prst="rect">
                      <a:avLst/>
                    </a:prstGeom>
                  </pic:spPr>
                </pic:pic>
              </a:graphicData>
            </a:graphic>
          </wp:inline>
        </w:drawing>
      </w:r>
    </w:p>
    <w:p w14:paraId="02A35625" w14:textId="4BDCF82C" w:rsidR="001913F6" w:rsidRPr="0056306A" w:rsidRDefault="00361223" w:rsidP="00361223">
      <w:pPr>
        <w:pStyle w:val="Caption"/>
      </w:pPr>
      <w:bookmarkStart w:id="60" w:name="_Ref76980231"/>
      <w:r w:rsidRPr="0056306A">
        <w:t xml:space="preserve">Figure B- </w:t>
      </w:r>
      <w:r>
        <w:fldChar w:fldCharType="begin"/>
      </w:r>
      <w:r>
        <w:instrText>SEQ Figure_B- \* ARABIC</w:instrText>
      </w:r>
      <w:r>
        <w:fldChar w:fldCharType="separate"/>
      </w:r>
      <w:r w:rsidR="00080C1D">
        <w:rPr>
          <w:noProof/>
        </w:rPr>
        <w:t>2</w:t>
      </w:r>
      <w:r>
        <w:fldChar w:fldCharType="end"/>
      </w:r>
      <w:bookmarkEnd w:id="60"/>
      <w:r w:rsidRPr="0056306A">
        <w:t xml:space="preserve"> </w:t>
      </w:r>
      <w:r w:rsidR="001913F6" w:rsidRPr="0056306A">
        <w:rPr>
          <w:noProof/>
        </w:rPr>
        <w:t>Coordinated decisions across various timeframes</w:t>
      </w:r>
      <w:r w:rsidR="001913F6" w:rsidRPr="0056306A">
        <w:t xml:space="preserve"> and location interactions in the integrated modelling of low-carbon </w:t>
      </w:r>
      <w:proofErr w:type="gramStart"/>
      <w:r w:rsidR="001913F6" w:rsidRPr="0056306A">
        <w:t>systems</w:t>
      </w:r>
      <w:proofErr w:type="gramEnd"/>
    </w:p>
    <w:p w14:paraId="4F2C8250" w14:textId="7634632D" w:rsidR="001913F6" w:rsidRPr="0056306A" w:rsidRDefault="001913F6" w:rsidP="001D2ACE">
      <w:pPr>
        <w:pStyle w:val="Bodytext1"/>
      </w:pPr>
      <w:r w:rsidRPr="0056306A">
        <w:t>IWES optimises the energy supply portfolio, transmission and distribution infrastructure, and energy storage simultaneously to capture system components</w:t>
      </w:r>
      <w:r w:rsidR="00CF17A5">
        <w:t>'</w:t>
      </w:r>
      <w:r w:rsidRPr="0056306A">
        <w:t xml:space="preserve"> interactions. For example, a more extensive distribution capacity may be needed to enable </w:t>
      </w:r>
      <w:r w:rsidR="000B112E">
        <w:t>end-users' flexibility</w:t>
      </w:r>
      <w:r w:rsidRPr="0056306A">
        <w:t xml:space="preserve"> to follow renewable output. IWES also optimises the technical needs for real-time supply and demand balancing, including frequency regulation and balancing reserve (seconds and minutes timescale) while considering critically essential changes in the system inertia (which is vital for zero-carbon energy system) while reflecting on the dynamic parameters and technical limitations of the selected portfolio of energy sources and flexibility technologies. The benefits of system flexibility provision can be analysed across various energy vectors. </w:t>
      </w:r>
    </w:p>
    <w:p w14:paraId="624974A1" w14:textId="6CEDE972" w:rsidR="002821D0" w:rsidRPr="0056306A" w:rsidRDefault="001913F6" w:rsidP="00903EB8">
      <w:r w:rsidRPr="0056306A">
        <w:t>IWES model has been applied to investigate the value of system flexibility</w:t>
      </w:r>
      <w:r w:rsidRPr="0056306A">
        <w:rPr>
          <w:rStyle w:val="FootnoteReference"/>
        </w:rPr>
        <w:footnoteReference w:id="7"/>
      </w:r>
      <w:r w:rsidRPr="0056306A">
        <w:t>, evaluate the performance and system implications of different heat decarbonisation pathways</w:t>
      </w:r>
      <w:r w:rsidRPr="0056306A">
        <w:rPr>
          <w:rStyle w:val="FootnoteReference"/>
        </w:rPr>
        <w:footnoteReference w:id="8"/>
      </w:r>
      <w:r w:rsidRPr="0056306A">
        <w:t xml:space="preserve">, quantify the benefits of hydrogen and electricity integration involving electrolysers and hydrogen-fuelled power generation, identify the role of carbon removal technology for net-zero, understand the impact of local versus </w:t>
      </w:r>
      <w:r w:rsidRPr="0056306A">
        <w:lastRenderedPageBreak/>
        <w:t>whole-system optimisation and the importance of ESO-DSO coordination, identify the system integration cost of renewables</w:t>
      </w:r>
      <w:r w:rsidRPr="0056306A">
        <w:rPr>
          <w:rStyle w:val="FootnoteReference"/>
        </w:rPr>
        <w:footnoteReference w:id="9"/>
      </w:r>
      <w:r w:rsidRPr="0056306A">
        <w:t>, and the value of long</w:t>
      </w:r>
      <w:r w:rsidR="00E5217B" w:rsidRPr="0056306A">
        <w:t>-</w:t>
      </w:r>
      <w:r w:rsidRPr="0056306A">
        <w:t>duration energy storage</w:t>
      </w:r>
      <w:r w:rsidRPr="0056306A">
        <w:rPr>
          <w:rStyle w:val="FootnoteReference"/>
        </w:rPr>
        <w:footnoteReference w:id="10"/>
      </w:r>
      <w:r w:rsidRPr="0056306A">
        <w:t>.</w:t>
      </w:r>
    </w:p>
    <w:p w14:paraId="40AE139F" w14:textId="6C4D1397" w:rsidR="00546ED2" w:rsidRPr="0056306A" w:rsidRDefault="00546ED2" w:rsidP="00903EB8">
      <w:r w:rsidRPr="0056306A">
        <w:t>The IWES model considers more than 30 different cost categories</w:t>
      </w:r>
      <w:r w:rsidR="00E5217B" w:rsidRPr="0056306A">
        <w:t>. However,</w:t>
      </w:r>
      <w:r w:rsidRPr="0056306A">
        <w:t xml:space="preserve"> for simplicity, the annual system costs are presented and grouped into</w:t>
      </w:r>
      <w:r w:rsidR="009661D1" w:rsidRPr="0056306A">
        <w:t xml:space="preserve"> fewer high-level cost categories</w:t>
      </w:r>
      <w:r w:rsidR="00E5217B" w:rsidRPr="0056306A">
        <w:t>,</w:t>
      </w:r>
      <w:r w:rsidR="009661D1" w:rsidRPr="0056306A">
        <w:t xml:space="preserve"> including</w:t>
      </w:r>
      <w:r w:rsidRPr="0056306A">
        <w:t xml:space="preserve"> eleven Capital expenditure (C), two Operating costs (O) and one Revenue (R) categories described as follows:</w:t>
      </w:r>
      <w:r w:rsidR="00676D84" w:rsidRPr="0056306A">
        <w:t xml:space="preserve"> </w:t>
      </w:r>
    </w:p>
    <w:p w14:paraId="6434B12E" w14:textId="21CEBD49" w:rsidR="00C60246" w:rsidRPr="0056306A" w:rsidRDefault="00C60246" w:rsidP="003F6456">
      <w:pPr>
        <w:pStyle w:val="Caption"/>
      </w:pPr>
      <w:r w:rsidRPr="0056306A">
        <w:t>Table B-</w:t>
      </w:r>
      <w:r w:rsidR="003F6456" w:rsidRPr="0056306A">
        <w:t>1</w:t>
      </w:r>
      <w:r w:rsidRPr="0056306A">
        <w:t xml:space="preserve"> </w:t>
      </w:r>
      <w:r w:rsidR="003F6456" w:rsidRPr="0056306A">
        <w:t xml:space="preserve">Detailed and higher-level cost </w:t>
      </w:r>
      <w:proofErr w:type="gramStart"/>
      <w:r w:rsidR="003F6456" w:rsidRPr="0056306A">
        <w:t>categories</w:t>
      </w:r>
      <w:proofErr w:type="gramEnd"/>
    </w:p>
    <w:tbl>
      <w:tblPr>
        <w:tblStyle w:val="PlainTable2"/>
        <w:tblW w:w="8364" w:type="dxa"/>
        <w:tblInd w:w="0" w:type="dxa"/>
        <w:tblLook w:val="04A0" w:firstRow="1" w:lastRow="0" w:firstColumn="1" w:lastColumn="0" w:noHBand="0" w:noVBand="1"/>
      </w:tblPr>
      <w:tblGrid>
        <w:gridCol w:w="1724"/>
        <w:gridCol w:w="1641"/>
        <w:gridCol w:w="4999"/>
      </w:tblGrid>
      <w:tr w:rsidR="005C39A9" w:rsidRPr="0056306A" w14:paraId="051C767D" w14:textId="77777777" w:rsidTr="00123E97">
        <w:trPr>
          <w:cnfStyle w:val="100000000000" w:firstRow="1" w:lastRow="0" w:firstColumn="0" w:lastColumn="0" w:oddVBand="0" w:evenVBand="0" w:oddHBand="0" w:evenHBand="0" w:firstRowFirstColumn="0" w:firstRowLastColumn="0" w:lastRowFirstColumn="0" w:lastRowLastColumn="0"/>
          <w:trHeight w:val="315"/>
          <w:tblHeader/>
        </w:trPr>
        <w:tc>
          <w:tcPr>
            <w:cnfStyle w:val="001000000000" w:firstRow="0" w:lastRow="0" w:firstColumn="1" w:lastColumn="0" w:oddVBand="0" w:evenVBand="0" w:oddHBand="0" w:evenHBand="0" w:firstRowFirstColumn="0" w:firstRowLastColumn="0" w:lastRowFirstColumn="0" w:lastRowLastColumn="0"/>
            <w:tcW w:w="1724" w:type="dxa"/>
            <w:tcBorders>
              <w:top w:val="single" w:sz="4" w:space="0" w:color="7F7F7F" w:themeColor="text1" w:themeTint="80"/>
              <w:left w:val="nil"/>
              <w:right w:val="nil"/>
            </w:tcBorders>
            <w:hideMark/>
          </w:tcPr>
          <w:p w14:paraId="370C1F87" w14:textId="77777777" w:rsidR="005C39A9" w:rsidRPr="0056306A" w:rsidRDefault="005C39A9" w:rsidP="00123E97">
            <w:r w:rsidRPr="0056306A">
              <w:t xml:space="preserve">Detailed cost category </w:t>
            </w:r>
          </w:p>
        </w:tc>
        <w:tc>
          <w:tcPr>
            <w:tcW w:w="1641" w:type="dxa"/>
            <w:tcBorders>
              <w:top w:val="single" w:sz="4" w:space="0" w:color="7F7F7F" w:themeColor="text1" w:themeTint="80"/>
              <w:left w:val="nil"/>
              <w:right w:val="nil"/>
            </w:tcBorders>
            <w:hideMark/>
          </w:tcPr>
          <w:p w14:paraId="67224C1E" w14:textId="77777777" w:rsidR="005C39A9" w:rsidRPr="0056306A" w:rsidRDefault="005C39A9" w:rsidP="00123E97">
            <w:pPr>
              <w:cnfStyle w:val="100000000000" w:firstRow="1" w:lastRow="0" w:firstColumn="0" w:lastColumn="0" w:oddVBand="0" w:evenVBand="0" w:oddHBand="0" w:evenHBand="0" w:firstRowFirstColumn="0" w:firstRowLastColumn="0" w:lastRowFirstColumn="0" w:lastRowLastColumn="0"/>
            </w:pPr>
            <w:r w:rsidRPr="0056306A">
              <w:t>Higher-level cost mapping </w:t>
            </w:r>
          </w:p>
        </w:tc>
        <w:tc>
          <w:tcPr>
            <w:tcW w:w="4999" w:type="dxa"/>
            <w:tcBorders>
              <w:top w:val="single" w:sz="4" w:space="0" w:color="7F7F7F" w:themeColor="text1" w:themeTint="80"/>
              <w:left w:val="nil"/>
              <w:right w:val="nil"/>
            </w:tcBorders>
            <w:hideMark/>
          </w:tcPr>
          <w:p w14:paraId="29CEFF14" w14:textId="52CDB10E" w:rsidR="005C39A9" w:rsidRPr="0056306A" w:rsidRDefault="005C39A9" w:rsidP="00123E97">
            <w:pPr>
              <w:cnfStyle w:val="100000000000" w:firstRow="1" w:lastRow="0" w:firstColumn="0" w:lastColumn="0" w:oddVBand="0" w:evenVBand="0" w:oddHBand="0" w:evenHBand="0" w:firstRowFirstColumn="0" w:firstRowLastColumn="0" w:lastRowFirstColumn="0" w:lastRowLastColumn="0"/>
            </w:pPr>
            <w:r w:rsidRPr="0056306A">
              <w:t>Description (all capital costs are annuitized</w:t>
            </w:r>
            <w:r w:rsidRPr="0056306A">
              <w:rPr>
                <w:rStyle w:val="FootnoteReference"/>
                <w:rFonts w:cstheme="minorHAnsi"/>
                <w:color w:val="000000"/>
              </w:rPr>
              <w:footnoteReference w:id="11"/>
            </w:r>
            <w:r w:rsidRPr="0056306A">
              <w:t xml:space="preserve"> </w:t>
            </w:r>
            <w:r w:rsidR="000B112E">
              <w:t xml:space="preserve">, </w:t>
            </w:r>
            <w:r w:rsidRPr="0056306A">
              <w:t>and operating costs are annual)</w:t>
            </w:r>
          </w:p>
        </w:tc>
      </w:tr>
      <w:tr w:rsidR="005C39A9" w:rsidRPr="0056306A" w14:paraId="03431406"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2FFA532E" w14:textId="77777777" w:rsidR="005C39A9" w:rsidRPr="0056306A" w:rsidRDefault="005C39A9" w:rsidP="00123E97">
            <w:pPr>
              <w:rPr>
                <w:b w:val="0"/>
                <w:bCs w:val="0"/>
              </w:rPr>
            </w:pPr>
            <w:r w:rsidRPr="0056306A">
              <w:t>C: Low carbon gen </w:t>
            </w:r>
          </w:p>
        </w:tc>
        <w:tc>
          <w:tcPr>
            <w:tcW w:w="1641" w:type="dxa"/>
            <w:tcBorders>
              <w:left w:val="nil"/>
              <w:right w:val="nil"/>
            </w:tcBorders>
            <w:hideMark/>
          </w:tcPr>
          <w:p w14:paraId="3155E746" w14:textId="77777777"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Electricity  </w:t>
            </w:r>
          </w:p>
          <w:p w14:paraId="479640EB" w14:textId="77777777"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generation </w:t>
            </w:r>
          </w:p>
        </w:tc>
        <w:tc>
          <w:tcPr>
            <w:tcW w:w="4999" w:type="dxa"/>
            <w:tcBorders>
              <w:left w:val="nil"/>
              <w:right w:val="nil"/>
            </w:tcBorders>
            <w:hideMark/>
          </w:tcPr>
          <w:p w14:paraId="6A456510" w14:textId="0013BFE8"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 xml:space="preserve">Capital cost of wind, PV, hydro, nuclear, gas </w:t>
            </w:r>
            <w:r w:rsidR="00632B6E">
              <w:t>CCS</w:t>
            </w:r>
            <w:r w:rsidRPr="0056306A">
              <w:t>, power BECCS, and H2-based generation.</w:t>
            </w:r>
          </w:p>
        </w:tc>
      </w:tr>
      <w:tr w:rsidR="005C39A9" w:rsidRPr="0056306A" w14:paraId="4CB6F978"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727B0763" w14:textId="11A28D15" w:rsidR="005C39A9" w:rsidRPr="0056306A" w:rsidRDefault="005C39A9" w:rsidP="00123E97">
            <w:pPr>
              <w:rPr>
                <w:b w:val="0"/>
                <w:bCs w:val="0"/>
              </w:rPr>
            </w:pPr>
            <w:r w:rsidRPr="0056306A">
              <w:t>C: Non</w:t>
            </w:r>
            <w:r w:rsidR="000B112E">
              <w:t>-</w:t>
            </w:r>
            <w:r w:rsidRPr="0056306A">
              <w:t>low-</w:t>
            </w:r>
            <w:proofErr w:type="gramStart"/>
            <w:r w:rsidRPr="0056306A">
              <w:t>carbon  gen</w:t>
            </w:r>
            <w:proofErr w:type="gramEnd"/>
            <w:r w:rsidRPr="0056306A">
              <w:t> </w:t>
            </w:r>
          </w:p>
        </w:tc>
        <w:tc>
          <w:tcPr>
            <w:tcW w:w="1641" w:type="dxa"/>
            <w:tcBorders>
              <w:top w:val="nil"/>
              <w:left w:val="nil"/>
              <w:bottom w:val="nil"/>
              <w:right w:val="nil"/>
            </w:tcBorders>
            <w:hideMark/>
          </w:tcPr>
          <w:p w14:paraId="74D75D91"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Electricity  </w:t>
            </w:r>
          </w:p>
          <w:p w14:paraId="052D8694"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generation </w:t>
            </w:r>
          </w:p>
        </w:tc>
        <w:tc>
          <w:tcPr>
            <w:tcW w:w="4999" w:type="dxa"/>
            <w:tcBorders>
              <w:top w:val="nil"/>
              <w:left w:val="nil"/>
              <w:bottom w:val="nil"/>
              <w:right w:val="nil"/>
            </w:tcBorders>
            <w:hideMark/>
          </w:tcPr>
          <w:p w14:paraId="3E909BD4"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Capital cost of traditional fossil-fuel-based generation such as CCGT, OCGT and CHP</w:t>
            </w:r>
          </w:p>
        </w:tc>
      </w:tr>
      <w:tr w:rsidR="005C39A9" w:rsidRPr="0056306A" w14:paraId="55277F40"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228D4830" w14:textId="77777777" w:rsidR="005C39A9" w:rsidRPr="0056306A" w:rsidRDefault="005C39A9" w:rsidP="00123E97">
            <w:pPr>
              <w:rPr>
                <w:b w:val="0"/>
                <w:bCs w:val="0"/>
              </w:rPr>
            </w:pPr>
            <w:r w:rsidRPr="0056306A">
              <w:t>C: Transmission </w:t>
            </w:r>
          </w:p>
        </w:tc>
        <w:tc>
          <w:tcPr>
            <w:tcW w:w="1641" w:type="dxa"/>
            <w:tcBorders>
              <w:left w:val="nil"/>
              <w:right w:val="nil"/>
            </w:tcBorders>
            <w:hideMark/>
          </w:tcPr>
          <w:p w14:paraId="211719E1" w14:textId="5296E0BA"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rPr>
                <w:bCs/>
                <w:iCs/>
              </w:rPr>
            </w:pPr>
            <w:r w:rsidRPr="0056306A">
              <w:rPr>
                <w:bCs/>
                <w:iCs/>
              </w:rPr>
              <w:t xml:space="preserve">C: Transmission and interconnection </w:t>
            </w:r>
          </w:p>
          <w:p w14:paraId="0E48884F" w14:textId="64492880"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p>
        </w:tc>
        <w:tc>
          <w:tcPr>
            <w:tcW w:w="4999" w:type="dxa"/>
            <w:tcBorders>
              <w:left w:val="nil"/>
              <w:right w:val="nil"/>
            </w:tcBorders>
            <w:hideMark/>
          </w:tcPr>
          <w:p w14:paraId="0FA201B0"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the GB transmission network, including onshore and offshore (but not interconnection)</w:t>
            </w:r>
          </w:p>
        </w:tc>
      </w:tr>
      <w:tr w:rsidR="005C39A9" w:rsidRPr="0056306A" w14:paraId="7A909EAF"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67498A92" w14:textId="77777777" w:rsidR="005C39A9" w:rsidRPr="0056306A" w:rsidRDefault="005C39A9" w:rsidP="00123E97">
            <w:pPr>
              <w:rPr>
                <w:b w:val="0"/>
                <w:bCs w:val="0"/>
              </w:rPr>
            </w:pPr>
            <w:r w:rsidRPr="0056306A">
              <w:t>C: Interconnection </w:t>
            </w:r>
          </w:p>
        </w:tc>
        <w:tc>
          <w:tcPr>
            <w:tcW w:w="1641" w:type="dxa"/>
            <w:tcBorders>
              <w:top w:val="nil"/>
              <w:left w:val="nil"/>
              <w:bottom w:val="nil"/>
              <w:right w:val="nil"/>
            </w:tcBorders>
            <w:hideMark/>
          </w:tcPr>
          <w:p w14:paraId="7C2945D1" w14:textId="360C4702"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rPr>
                <w:bCs/>
                <w:iCs/>
              </w:rPr>
            </w:pPr>
            <w:r w:rsidRPr="0056306A">
              <w:rPr>
                <w:bCs/>
                <w:iCs/>
              </w:rPr>
              <w:t xml:space="preserve">C: Transmission and interconnection </w:t>
            </w:r>
          </w:p>
        </w:tc>
        <w:tc>
          <w:tcPr>
            <w:tcW w:w="4999" w:type="dxa"/>
            <w:tcBorders>
              <w:top w:val="nil"/>
              <w:left w:val="nil"/>
              <w:bottom w:val="nil"/>
              <w:right w:val="nil"/>
            </w:tcBorders>
            <w:hideMark/>
          </w:tcPr>
          <w:p w14:paraId="56684E4C"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Capital cost of GB interconnectors</w:t>
            </w:r>
          </w:p>
        </w:tc>
      </w:tr>
      <w:tr w:rsidR="005C39A9" w:rsidRPr="0056306A" w14:paraId="58921E6F"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1924A10E" w14:textId="77777777" w:rsidR="005C39A9" w:rsidRPr="0056306A" w:rsidRDefault="005C39A9" w:rsidP="00123E97">
            <w:pPr>
              <w:rPr>
                <w:b w:val="0"/>
                <w:bCs w:val="0"/>
              </w:rPr>
            </w:pPr>
            <w:r w:rsidRPr="0056306A">
              <w:t>C: Distribution </w:t>
            </w:r>
          </w:p>
        </w:tc>
        <w:tc>
          <w:tcPr>
            <w:tcW w:w="1641" w:type="dxa"/>
            <w:tcBorders>
              <w:left w:val="nil"/>
              <w:right w:val="nil"/>
            </w:tcBorders>
            <w:hideMark/>
          </w:tcPr>
          <w:p w14:paraId="2D4344C5" w14:textId="0A37E977"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Distribution  </w:t>
            </w:r>
          </w:p>
          <w:p w14:paraId="08B1F344" w14:textId="2B3A951D"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networks</w:t>
            </w:r>
          </w:p>
        </w:tc>
        <w:tc>
          <w:tcPr>
            <w:tcW w:w="4999" w:type="dxa"/>
            <w:tcBorders>
              <w:left w:val="nil"/>
              <w:right w:val="nil"/>
            </w:tcBorders>
            <w:hideMark/>
          </w:tcPr>
          <w:p w14:paraId="2DCE25EF"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reinforcing electricity distribution network</w:t>
            </w:r>
          </w:p>
        </w:tc>
      </w:tr>
      <w:tr w:rsidR="005C39A9" w:rsidRPr="0056306A" w14:paraId="68432AE1"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78A675A4" w14:textId="77777777" w:rsidR="005C39A9" w:rsidRPr="0056306A" w:rsidRDefault="005C39A9" w:rsidP="00123E97">
            <w:pPr>
              <w:rPr>
                <w:b w:val="0"/>
                <w:bCs w:val="0"/>
              </w:rPr>
            </w:pPr>
            <w:r w:rsidRPr="0056306A">
              <w:t>O: Electricity </w:t>
            </w:r>
          </w:p>
        </w:tc>
        <w:tc>
          <w:tcPr>
            <w:tcW w:w="1641" w:type="dxa"/>
            <w:tcBorders>
              <w:top w:val="nil"/>
              <w:left w:val="nil"/>
              <w:bottom w:val="nil"/>
              <w:right w:val="nil"/>
            </w:tcBorders>
            <w:hideMark/>
          </w:tcPr>
          <w:p w14:paraId="24FC154F"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O: Electricity </w:t>
            </w:r>
          </w:p>
        </w:tc>
        <w:tc>
          <w:tcPr>
            <w:tcW w:w="4999" w:type="dxa"/>
            <w:tcBorders>
              <w:top w:val="nil"/>
              <w:left w:val="nil"/>
              <w:bottom w:val="nil"/>
              <w:right w:val="nil"/>
            </w:tcBorders>
            <w:hideMark/>
          </w:tcPr>
          <w:p w14:paraId="75CA2D92"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Fuel cost, no-load cost and start-up cost of power generation. The cost of hydrogen as a fuel is excluded here</w:t>
            </w:r>
            <w:r w:rsidRPr="0056306A">
              <w:rPr>
                <w:rStyle w:val="FootnoteReference"/>
                <w:rFonts w:cstheme="minorHAnsi"/>
              </w:rPr>
              <w:footnoteReference w:id="12"/>
            </w:r>
            <w:r w:rsidRPr="0056306A">
              <w:t xml:space="preserve"> but included in the Capex and </w:t>
            </w:r>
            <w:proofErr w:type="spellStart"/>
            <w:r w:rsidRPr="0056306A">
              <w:t>Opex</w:t>
            </w:r>
            <w:proofErr w:type="spellEnd"/>
            <w:r w:rsidRPr="0056306A">
              <w:t xml:space="preserve"> of hydrogen.</w:t>
            </w:r>
          </w:p>
        </w:tc>
      </w:tr>
      <w:tr w:rsidR="005C39A9" w:rsidRPr="0056306A" w14:paraId="066D571B"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73D0E8DB" w14:textId="77777777" w:rsidR="005C39A9" w:rsidRPr="0056306A" w:rsidRDefault="005C39A9" w:rsidP="00123E97">
            <w:pPr>
              <w:rPr>
                <w:b w:val="0"/>
                <w:bCs w:val="0"/>
              </w:rPr>
            </w:pPr>
            <w:r w:rsidRPr="0056306A">
              <w:t>C: HP </w:t>
            </w:r>
          </w:p>
        </w:tc>
        <w:tc>
          <w:tcPr>
            <w:tcW w:w="1641" w:type="dxa"/>
            <w:tcBorders>
              <w:left w:val="nil"/>
              <w:right w:val="nil"/>
            </w:tcBorders>
            <w:hideMark/>
          </w:tcPr>
          <w:p w14:paraId="0688692E" w14:textId="2A29800A"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Electric heating </w:t>
            </w:r>
          </w:p>
        </w:tc>
        <w:tc>
          <w:tcPr>
            <w:tcW w:w="4999" w:type="dxa"/>
            <w:tcBorders>
              <w:left w:val="nil"/>
              <w:right w:val="nil"/>
            </w:tcBorders>
            <w:hideMark/>
          </w:tcPr>
          <w:p w14:paraId="3A37B6D2"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heat pump devices, installation cost and the annual fixed operating and maintenance cost</w:t>
            </w:r>
          </w:p>
        </w:tc>
      </w:tr>
      <w:tr w:rsidR="005C39A9" w:rsidRPr="0056306A" w14:paraId="5107B4CE"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2BB35EDB" w14:textId="77777777" w:rsidR="005C39A9" w:rsidRPr="0056306A" w:rsidRDefault="005C39A9" w:rsidP="00123E97">
            <w:pPr>
              <w:rPr>
                <w:b w:val="0"/>
                <w:bCs w:val="0"/>
              </w:rPr>
            </w:pPr>
            <w:r w:rsidRPr="0056306A">
              <w:t>C: RH </w:t>
            </w:r>
          </w:p>
        </w:tc>
        <w:tc>
          <w:tcPr>
            <w:tcW w:w="1641" w:type="dxa"/>
            <w:tcBorders>
              <w:top w:val="nil"/>
              <w:left w:val="nil"/>
              <w:bottom w:val="nil"/>
              <w:right w:val="nil"/>
            </w:tcBorders>
            <w:hideMark/>
          </w:tcPr>
          <w:p w14:paraId="1F8C9086" w14:textId="02158158"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Electric heating </w:t>
            </w:r>
          </w:p>
        </w:tc>
        <w:tc>
          <w:tcPr>
            <w:tcW w:w="4999" w:type="dxa"/>
            <w:tcBorders>
              <w:top w:val="nil"/>
              <w:left w:val="nil"/>
              <w:bottom w:val="nil"/>
              <w:right w:val="nil"/>
            </w:tcBorders>
            <w:hideMark/>
          </w:tcPr>
          <w:p w14:paraId="6E912364" w14:textId="589FBD85"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Capital cost of resistive heating devices, installation cost and the annual fixed operating and maintenance cost. RH is not used in this study</w:t>
            </w:r>
            <w:r w:rsidR="000B112E">
              <w:t xml:space="preserve"> bu</w:t>
            </w:r>
            <w:r w:rsidRPr="0056306A">
              <w:t>t is part of the IWES model.</w:t>
            </w:r>
          </w:p>
        </w:tc>
      </w:tr>
      <w:tr w:rsidR="005C39A9" w:rsidRPr="0056306A" w14:paraId="668F7B52"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2FB017E2" w14:textId="77777777" w:rsidR="005C39A9" w:rsidRPr="0056306A" w:rsidRDefault="005C39A9" w:rsidP="00123E97">
            <w:pPr>
              <w:rPr>
                <w:b w:val="0"/>
                <w:bCs w:val="0"/>
              </w:rPr>
            </w:pPr>
            <w:r w:rsidRPr="0056306A">
              <w:t>C: Storage </w:t>
            </w:r>
          </w:p>
        </w:tc>
        <w:tc>
          <w:tcPr>
            <w:tcW w:w="1641" w:type="dxa"/>
            <w:tcBorders>
              <w:left w:val="nil"/>
              <w:right w:val="nil"/>
            </w:tcBorders>
            <w:hideMark/>
          </w:tcPr>
          <w:p w14:paraId="00BF50B5" w14:textId="74256591"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Electricity and thermal storage</w:t>
            </w:r>
          </w:p>
        </w:tc>
        <w:tc>
          <w:tcPr>
            <w:tcW w:w="4999" w:type="dxa"/>
            <w:tcBorders>
              <w:left w:val="nil"/>
              <w:right w:val="nil"/>
            </w:tcBorders>
            <w:hideMark/>
          </w:tcPr>
          <w:p w14:paraId="4687E600"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electricity storage in the system; it includes the cost of pumped hydro and battery energy storage system</w:t>
            </w:r>
          </w:p>
        </w:tc>
      </w:tr>
      <w:tr w:rsidR="005C39A9" w:rsidRPr="0056306A" w14:paraId="497FA62E"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297ADE9E" w14:textId="77777777" w:rsidR="005C39A9" w:rsidRPr="0056306A" w:rsidRDefault="005C39A9" w:rsidP="00123E97">
            <w:pPr>
              <w:rPr>
                <w:b w:val="0"/>
                <w:bCs w:val="0"/>
              </w:rPr>
            </w:pPr>
            <w:r w:rsidRPr="0056306A">
              <w:lastRenderedPageBreak/>
              <w:t>C: Heat storage </w:t>
            </w:r>
          </w:p>
        </w:tc>
        <w:tc>
          <w:tcPr>
            <w:tcW w:w="1641" w:type="dxa"/>
            <w:tcBorders>
              <w:top w:val="nil"/>
              <w:left w:val="nil"/>
              <w:bottom w:val="nil"/>
              <w:right w:val="nil"/>
            </w:tcBorders>
            <w:hideMark/>
          </w:tcPr>
          <w:p w14:paraId="4BE5F8CA" w14:textId="782B0F89"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Electricity and thermal storage</w:t>
            </w:r>
          </w:p>
        </w:tc>
        <w:tc>
          <w:tcPr>
            <w:tcW w:w="4999" w:type="dxa"/>
            <w:tcBorders>
              <w:top w:val="nil"/>
              <w:left w:val="nil"/>
              <w:bottom w:val="nil"/>
              <w:right w:val="nil"/>
            </w:tcBorders>
            <w:hideMark/>
          </w:tcPr>
          <w:p w14:paraId="50864130"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Capital cost of domestic and district heating thermal energy storage</w:t>
            </w:r>
          </w:p>
        </w:tc>
      </w:tr>
      <w:tr w:rsidR="005C39A9" w:rsidRPr="0056306A" w14:paraId="1909B355"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41170116" w14:textId="77777777" w:rsidR="005C39A9" w:rsidRPr="0056306A" w:rsidRDefault="005C39A9" w:rsidP="00123E97">
            <w:pPr>
              <w:rPr>
                <w:b w:val="0"/>
                <w:bCs w:val="0"/>
              </w:rPr>
            </w:pPr>
            <w:r w:rsidRPr="0056306A">
              <w:t>C: DACCS </w:t>
            </w:r>
          </w:p>
        </w:tc>
        <w:tc>
          <w:tcPr>
            <w:tcW w:w="1641" w:type="dxa"/>
            <w:tcBorders>
              <w:left w:val="nil"/>
              <w:right w:val="nil"/>
            </w:tcBorders>
            <w:hideMark/>
          </w:tcPr>
          <w:p w14:paraId="2A9182AF" w14:textId="2B49006F"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Hydrogen and CCS </w:t>
            </w:r>
          </w:p>
        </w:tc>
        <w:tc>
          <w:tcPr>
            <w:tcW w:w="4999" w:type="dxa"/>
            <w:tcBorders>
              <w:left w:val="nil"/>
              <w:right w:val="nil"/>
            </w:tcBorders>
            <w:hideMark/>
          </w:tcPr>
          <w:p w14:paraId="2B4F3750"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DACCS</w:t>
            </w:r>
            <w:r w:rsidRPr="0056306A">
              <w:rPr>
                <w:rStyle w:val="FootnoteReference"/>
                <w:rFonts w:cstheme="minorHAnsi"/>
              </w:rPr>
              <w:footnoteReference w:id="13"/>
            </w:r>
          </w:p>
        </w:tc>
      </w:tr>
      <w:tr w:rsidR="005C39A9" w:rsidRPr="0056306A" w14:paraId="1044F8CA"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2431915B" w14:textId="77777777" w:rsidR="005C39A9" w:rsidRPr="0056306A" w:rsidRDefault="005C39A9" w:rsidP="00123E97">
            <w:pPr>
              <w:rPr>
                <w:b w:val="0"/>
                <w:bCs w:val="0"/>
              </w:rPr>
            </w:pPr>
            <w:r w:rsidRPr="0056306A">
              <w:t>C: Decom. gas  </w:t>
            </w:r>
          </w:p>
          <w:p w14:paraId="1CA222DB" w14:textId="77777777" w:rsidR="005C39A9" w:rsidRPr="0056306A" w:rsidRDefault="005C39A9" w:rsidP="00123E97">
            <w:pPr>
              <w:rPr>
                <w:b w:val="0"/>
                <w:bCs w:val="0"/>
              </w:rPr>
            </w:pPr>
            <w:r w:rsidRPr="0056306A">
              <w:t>distribution </w:t>
            </w:r>
          </w:p>
        </w:tc>
        <w:tc>
          <w:tcPr>
            <w:tcW w:w="1641" w:type="dxa"/>
            <w:tcBorders>
              <w:top w:val="nil"/>
              <w:left w:val="nil"/>
              <w:bottom w:val="nil"/>
              <w:right w:val="nil"/>
            </w:tcBorders>
            <w:hideMark/>
          </w:tcPr>
          <w:p w14:paraId="131FFA63" w14:textId="511238E2"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Electric heating </w:t>
            </w:r>
          </w:p>
        </w:tc>
        <w:tc>
          <w:tcPr>
            <w:tcW w:w="4999" w:type="dxa"/>
            <w:tcBorders>
              <w:top w:val="nil"/>
              <w:left w:val="nil"/>
              <w:bottom w:val="nil"/>
              <w:right w:val="nil"/>
            </w:tcBorders>
          </w:tcPr>
          <w:p w14:paraId="4CD55EBD"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this cost occurs only in the Electric scenario as most of the gas distribution network is no longer used, and therefore, it should be decommissioned. The cost is estimated at £1bn/year. A small proportion of gas distribution connected to large customers (e.g. industry) and BECCS to hydrogen is maintained.</w:t>
            </w:r>
          </w:p>
          <w:p w14:paraId="30A04A09"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p>
        </w:tc>
      </w:tr>
      <w:tr w:rsidR="005C39A9" w:rsidRPr="0056306A" w14:paraId="3C3ACD14"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410915BB" w14:textId="77777777" w:rsidR="005C39A9" w:rsidRPr="0056306A" w:rsidRDefault="005C39A9" w:rsidP="00123E97">
            <w:pPr>
              <w:rPr>
                <w:b w:val="0"/>
                <w:bCs w:val="0"/>
              </w:rPr>
            </w:pPr>
            <w:r w:rsidRPr="0056306A">
              <w:t>C: </w:t>
            </w:r>
            <w:proofErr w:type="spellStart"/>
            <w:r w:rsidRPr="0056306A">
              <w:t>ATR+Bio</w:t>
            </w:r>
            <w:proofErr w:type="spellEnd"/>
            <w:r w:rsidRPr="0056306A">
              <w:t> </w:t>
            </w:r>
          </w:p>
        </w:tc>
        <w:tc>
          <w:tcPr>
            <w:tcW w:w="1641" w:type="dxa"/>
            <w:tcBorders>
              <w:left w:val="nil"/>
              <w:right w:val="nil"/>
            </w:tcBorders>
            <w:hideMark/>
          </w:tcPr>
          <w:p w14:paraId="14937131" w14:textId="2DDC708B"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Hydrogen and CCS </w:t>
            </w:r>
          </w:p>
        </w:tc>
        <w:tc>
          <w:tcPr>
            <w:tcW w:w="4999" w:type="dxa"/>
            <w:tcBorders>
              <w:left w:val="nil"/>
              <w:right w:val="nil"/>
            </w:tcBorders>
            <w:hideMark/>
          </w:tcPr>
          <w:p w14:paraId="776A1880" w14:textId="194358B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 xml:space="preserve">Capital cost of building ATR with </w:t>
            </w:r>
            <w:r w:rsidR="00632B6E">
              <w:t>CCS</w:t>
            </w:r>
            <w:r w:rsidRPr="0056306A">
              <w:t xml:space="preserve"> and the biomass gasification with </w:t>
            </w:r>
            <w:r w:rsidR="00632B6E">
              <w:t>CCS</w:t>
            </w:r>
            <w:r w:rsidRPr="0056306A">
              <w:t xml:space="preserve"> for hydrogen production</w:t>
            </w:r>
          </w:p>
        </w:tc>
      </w:tr>
      <w:tr w:rsidR="005C39A9" w:rsidRPr="0056306A" w14:paraId="3829ABBC"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36DA455E" w14:textId="77777777" w:rsidR="005C39A9" w:rsidRPr="0056306A" w:rsidRDefault="005C39A9" w:rsidP="00123E97">
            <w:pPr>
              <w:rPr>
                <w:b w:val="0"/>
                <w:bCs w:val="0"/>
              </w:rPr>
            </w:pPr>
            <w:r w:rsidRPr="0056306A">
              <w:t>C: Electrolysis </w:t>
            </w:r>
          </w:p>
        </w:tc>
        <w:tc>
          <w:tcPr>
            <w:tcW w:w="1641" w:type="dxa"/>
            <w:tcBorders>
              <w:top w:val="nil"/>
              <w:left w:val="nil"/>
              <w:bottom w:val="nil"/>
              <w:right w:val="nil"/>
            </w:tcBorders>
            <w:hideMark/>
          </w:tcPr>
          <w:p w14:paraId="6EA3FD77" w14:textId="4669A0DD"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Hydrogen and CCS </w:t>
            </w:r>
          </w:p>
        </w:tc>
        <w:tc>
          <w:tcPr>
            <w:tcW w:w="4999" w:type="dxa"/>
            <w:tcBorders>
              <w:top w:val="nil"/>
              <w:left w:val="nil"/>
              <w:bottom w:val="nil"/>
              <w:right w:val="nil"/>
            </w:tcBorders>
            <w:hideMark/>
          </w:tcPr>
          <w:p w14:paraId="243FA1AA"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Capital cost of various electrolysers: Proton Exchange Membrane (PEM), Alkaline, Solid Oxide Electrolyser (SOE)</w:t>
            </w:r>
          </w:p>
        </w:tc>
      </w:tr>
      <w:tr w:rsidR="005C39A9" w:rsidRPr="0056306A" w14:paraId="47E74110"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31AE0EE2" w14:textId="77777777" w:rsidR="005C39A9" w:rsidRPr="0056306A" w:rsidRDefault="005C39A9" w:rsidP="00123E97">
            <w:pPr>
              <w:rPr>
                <w:b w:val="0"/>
                <w:bCs w:val="0"/>
              </w:rPr>
            </w:pPr>
            <w:r w:rsidRPr="0056306A">
              <w:t>C: H2 network </w:t>
            </w:r>
          </w:p>
        </w:tc>
        <w:tc>
          <w:tcPr>
            <w:tcW w:w="1641" w:type="dxa"/>
            <w:tcBorders>
              <w:left w:val="nil"/>
              <w:right w:val="nil"/>
            </w:tcBorders>
            <w:hideMark/>
          </w:tcPr>
          <w:p w14:paraId="7D7DC7CB" w14:textId="713BD9F3"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Hydrogen and CCS </w:t>
            </w:r>
          </w:p>
        </w:tc>
        <w:tc>
          <w:tcPr>
            <w:tcW w:w="4999" w:type="dxa"/>
            <w:tcBorders>
              <w:left w:val="nil"/>
              <w:right w:val="nil"/>
            </w:tcBorders>
            <w:hideMark/>
          </w:tcPr>
          <w:p w14:paraId="5D66B2D3"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building a national hydrogen transmission network. It is assumed that the national gas transmission is retained.</w:t>
            </w:r>
          </w:p>
        </w:tc>
      </w:tr>
      <w:tr w:rsidR="005C39A9" w:rsidRPr="0056306A" w14:paraId="41FF681E"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0DB7D8AF" w14:textId="77777777" w:rsidR="005C39A9" w:rsidRPr="0056306A" w:rsidRDefault="005C39A9" w:rsidP="00123E97">
            <w:pPr>
              <w:rPr>
                <w:b w:val="0"/>
                <w:bCs w:val="0"/>
              </w:rPr>
            </w:pPr>
            <w:r w:rsidRPr="0056306A">
              <w:t>C:H2 storage </w:t>
            </w:r>
          </w:p>
        </w:tc>
        <w:tc>
          <w:tcPr>
            <w:tcW w:w="1641" w:type="dxa"/>
            <w:tcBorders>
              <w:top w:val="nil"/>
              <w:left w:val="nil"/>
              <w:bottom w:val="nil"/>
              <w:right w:val="nil"/>
            </w:tcBorders>
            <w:hideMark/>
          </w:tcPr>
          <w:p w14:paraId="61006B31" w14:textId="4F2C6D00"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Hydrogen and CCS </w:t>
            </w:r>
          </w:p>
        </w:tc>
        <w:tc>
          <w:tcPr>
            <w:tcW w:w="4999" w:type="dxa"/>
            <w:tcBorders>
              <w:top w:val="nil"/>
              <w:left w:val="nil"/>
              <w:bottom w:val="nil"/>
              <w:right w:val="nil"/>
            </w:tcBorders>
            <w:hideMark/>
          </w:tcPr>
          <w:p w14:paraId="681D2ACA"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Capital cost of both underground and overground storage</w:t>
            </w:r>
          </w:p>
        </w:tc>
      </w:tr>
      <w:tr w:rsidR="005C39A9" w:rsidRPr="0056306A" w14:paraId="3F60E320"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7E4A0D7A" w14:textId="26DFF984" w:rsidR="005C39A9" w:rsidRPr="0056306A" w:rsidRDefault="005C39A9" w:rsidP="00123E97">
            <w:pPr>
              <w:rPr>
                <w:b w:val="0"/>
                <w:bCs w:val="0"/>
              </w:rPr>
            </w:pPr>
            <w:r w:rsidRPr="0056306A">
              <w:t xml:space="preserve">C: </w:t>
            </w:r>
            <w:r w:rsidR="00632B6E">
              <w:t>CCS</w:t>
            </w:r>
            <w:r w:rsidRPr="0056306A">
              <w:t xml:space="preserve"> network </w:t>
            </w:r>
          </w:p>
        </w:tc>
        <w:tc>
          <w:tcPr>
            <w:tcW w:w="1641" w:type="dxa"/>
            <w:tcBorders>
              <w:left w:val="nil"/>
              <w:right w:val="nil"/>
            </w:tcBorders>
            <w:hideMark/>
          </w:tcPr>
          <w:p w14:paraId="79F40591" w14:textId="2117CBE4"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Hydrogen and CCS </w:t>
            </w:r>
          </w:p>
        </w:tc>
        <w:tc>
          <w:tcPr>
            <w:tcW w:w="4999" w:type="dxa"/>
            <w:tcBorders>
              <w:left w:val="nil"/>
              <w:right w:val="nil"/>
            </w:tcBorders>
            <w:hideMark/>
          </w:tcPr>
          <w:p w14:paraId="21867C72" w14:textId="756D3D7C"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 xml:space="preserve">Capital cost of building the </w:t>
            </w:r>
            <w:r w:rsidR="00632B6E">
              <w:t>CCS</w:t>
            </w:r>
            <w:r w:rsidRPr="0056306A">
              <w:t xml:space="preserve"> network</w:t>
            </w:r>
          </w:p>
        </w:tc>
      </w:tr>
      <w:tr w:rsidR="005C39A9" w:rsidRPr="0056306A" w14:paraId="7CA89C9A"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02F627EF" w14:textId="77777777" w:rsidR="005C39A9" w:rsidRPr="0056306A" w:rsidRDefault="005C39A9" w:rsidP="00123E97">
            <w:pPr>
              <w:rPr>
                <w:b w:val="0"/>
                <w:bCs w:val="0"/>
              </w:rPr>
            </w:pPr>
            <w:r w:rsidRPr="0056306A">
              <w:t>C: Carbon storage </w:t>
            </w:r>
          </w:p>
        </w:tc>
        <w:tc>
          <w:tcPr>
            <w:tcW w:w="1641" w:type="dxa"/>
            <w:tcBorders>
              <w:top w:val="nil"/>
              <w:left w:val="nil"/>
              <w:bottom w:val="nil"/>
              <w:right w:val="nil"/>
            </w:tcBorders>
            <w:hideMark/>
          </w:tcPr>
          <w:p w14:paraId="38669F1E" w14:textId="74246E09"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Hydrogen and CCS </w:t>
            </w:r>
          </w:p>
        </w:tc>
        <w:tc>
          <w:tcPr>
            <w:tcW w:w="4999" w:type="dxa"/>
            <w:tcBorders>
              <w:top w:val="nil"/>
              <w:left w:val="nil"/>
              <w:bottom w:val="nil"/>
              <w:right w:val="nil"/>
            </w:tcBorders>
          </w:tcPr>
          <w:p w14:paraId="53F30A95" w14:textId="7FD20222"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 xml:space="preserve">Cost of storing </w:t>
            </w:r>
            <w:r w:rsidR="004C188F" w:rsidRPr="0056306A">
              <w:t>c</w:t>
            </w:r>
            <w:r w:rsidRPr="0056306A">
              <w:t xml:space="preserve">arbon captured by </w:t>
            </w:r>
            <w:r w:rsidR="00632B6E">
              <w:t>CCS</w:t>
            </w:r>
            <w:r w:rsidRPr="0056306A">
              <w:t>. It is assumed that the carbon storage cost is £15/tCO</w:t>
            </w:r>
            <w:r w:rsidRPr="0056306A">
              <w:rPr>
                <w:vertAlign w:val="subscript"/>
              </w:rPr>
              <w:t>2</w:t>
            </w:r>
            <w:r w:rsidRPr="0056306A">
              <w:t>.</w:t>
            </w:r>
          </w:p>
          <w:p w14:paraId="2DE9C7F4"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p>
        </w:tc>
      </w:tr>
      <w:tr w:rsidR="005C39A9" w:rsidRPr="0056306A" w14:paraId="7FED5A42"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6B8CAC4A" w14:textId="77777777" w:rsidR="005C39A9" w:rsidRPr="0056306A" w:rsidRDefault="005C39A9" w:rsidP="00123E97">
            <w:pPr>
              <w:rPr>
                <w:b w:val="0"/>
                <w:bCs w:val="0"/>
              </w:rPr>
            </w:pPr>
            <w:r w:rsidRPr="0056306A">
              <w:t>O: </w:t>
            </w:r>
            <w:proofErr w:type="spellStart"/>
            <w:r w:rsidRPr="0056306A">
              <w:t>ATR+Bio</w:t>
            </w:r>
            <w:proofErr w:type="spellEnd"/>
            <w:r w:rsidRPr="0056306A">
              <w:t> </w:t>
            </w:r>
          </w:p>
        </w:tc>
        <w:tc>
          <w:tcPr>
            <w:tcW w:w="1641" w:type="dxa"/>
            <w:tcBorders>
              <w:left w:val="nil"/>
              <w:right w:val="nil"/>
            </w:tcBorders>
            <w:hideMark/>
          </w:tcPr>
          <w:p w14:paraId="0EBA85E7" w14:textId="762763D0"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O: Hydrogen and CCS </w:t>
            </w:r>
          </w:p>
        </w:tc>
        <w:tc>
          <w:tcPr>
            <w:tcW w:w="4999" w:type="dxa"/>
            <w:tcBorders>
              <w:left w:val="nil"/>
              <w:right w:val="nil"/>
            </w:tcBorders>
            <w:hideMark/>
          </w:tcPr>
          <w:p w14:paraId="24AF9B81" w14:textId="0609DEAE"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 xml:space="preserve">Fuel cost used by ATR with </w:t>
            </w:r>
            <w:r w:rsidR="00632B6E">
              <w:t>CCS</w:t>
            </w:r>
            <w:r w:rsidRPr="0056306A">
              <w:t xml:space="preserve"> and BECCS to produce hydrogen</w:t>
            </w:r>
            <w:r w:rsidRPr="0056306A">
              <w:rPr>
                <w:rStyle w:val="FootnoteReference"/>
                <w:rFonts w:cstheme="minorHAnsi"/>
              </w:rPr>
              <w:footnoteReference w:id="14"/>
            </w:r>
          </w:p>
        </w:tc>
      </w:tr>
      <w:tr w:rsidR="005C39A9" w:rsidRPr="0056306A" w14:paraId="3E63D702"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4FAC913C" w14:textId="77777777" w:rsidR="005C39A9" w:rsidRPr="0056306A" w:rsidRDefault="005C39A9" w:rsidP="00123E97">
            <w:pPr>
              <w:rPr>
                <w:b w:val="0"/>
                <w:bCs w:val="0"/>
              </w:rPr>
            </w:pPr>
            <w:r w:rsidRPr="0056306A">
              <w:t>O:H2 storage </w:t>
            </w:r>
          </w:p>
        </w:tc>
        <w:tc>
          <w:tcPr>
            <w:tcW w:w="1641" w:type="dxa"/>
            <w:tcBorders>
              <w:top w:val="nil"/>
              <w:left w:val="nil"/>
              <w:bottom w:val="nil"/>
              <w:right w:val="nil"/>
            </w:tcBorders>
            <w:hideMark/>
          </w:tcPr>
          <w:p w14:paraId="2A4C7CFF" w14:textId="4DE58803"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O: Hydrogen and CCS </w:t>
            </w:r>
          </w:p>
        </w:tc>
        <w:tc>
          <w:tcPr>
            <w:tcW w:w="4999" w:type="dxa"/>
            <w:tcBorders>
              <w:top w:val="nil"/>
              <w:left w:val="nil"/>
              <w:bottom w:val="nil"/>
              <w:right w:val="nil"/>
            </w:tcBorders>
            <w:hideMark/>
          </w:tcPr>
          <w:p w14:paraId="53640014"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Operating cost of hydrogen storage</w:t>
            </w:r>
          </w:p>
        </w:tc>
      </w:tr>
      <w:tr w:rsidR="005C39A9" w:rsidRPr="0056306A" w14:paraId="3B7ADC69"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173C361B" w14:textId="77777777" w:rsidR="005C39A9" w:rsidRPr="0056306A" w:rsidRDefault="005C39A9" w:rsidP="00123E97">
            <w:pPr>
              <w:rPr>
                <w:b w:val="0"/>
                <w:bCs w:val="0"/>
              </w:rPr>
            </w:pPr>
            <w:r w:rsidRPr="0056306A">
              <w:t>O: NG boiler </w:t>
            </w:r>
          </w:p>
        </w:tc>
        <w:tc>
          <w:tcPr>
            <w:tcW w:w="1641" w:type="dxa"/>
            <w:tcBorders>
              <w:left w:val="nil"/>
              <w:right w:val="nil"/>
            </w:tcBorders>
            <w:hideMark/>
          </w:tcPr>
          <w:p w14:paraId="7BF45D22" w14:textId="36201B08"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O: Hydrogen and CCS </w:t>
            </w:r>
          </w:p>
        </w:tc>
        <w:tc>
          <w:tcPr>
            <w:tcW w:w="4999" w:type="dxa"/>
            <w:tcBorders>
              <w:left w:val="nil"/>
              <w:right w:val="nil"/>
            </w:tcBorders>
            <w:hideMark/>
          </w:tcPr>
          <w:p w14:paraId="68A5CB73"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Cost of natural gas used by the boilers</w:t>
            </w:r>
          </w:p>
        </w:tc>
      </w:tr>
      <w:tr w:rsidR="005C39A9" w:rsidRPr="0056306A" w14:paraId="7F41D3EF"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7366759E" w14:textId="77777777" w:rsidR="005C39A9" w:rsidRPr="0056306A" w:rsidRDefault="005C39A9" w:rsidP="00123E97">
            <w:pPr>
              <w:jc w:val="left"/>
              <w:rPr>
                <w:b w:val="0"/>
                <w:bCs w:val="0"/>
              </w:rPr>
            </w:pPr>
            <w:r w:rsidRPr="0056306A">
              <w:t>C: NG boiler </w:t>
            </w:r>
          </w:p>
        </w:tc>
        <w:tc>
          <w:tcPr>
            <w:tcW w:w="1641" w:type="dxa"/>
            <w:tcBorders>
              <w:top w:val="nil"/>
              <w:left w:val="nil"/>
              <w:bottom w:val="nil"/>
              <w:right w:val="nil"/>
            </w:tcBorders>
            <w:hideMark/>
          </w:tcPr>
          <w:p w14:paraId="3CBB278F"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Gas heating </w:t>
            </w:r>
          </w:p>
        </w:tc>
        <w:tc>
          <w:tcPr>
            <w:tcW w:w="4999" w:type="dxa"/>
            <w:tcBorders>
              <w:top w:val="nil"/>
              <w:left w:val="nil"/>
              <w:bottom w:val="nil"/>
              <w:right w:val="nil"/>
            </w:tcBorders>
            <w:hideMark/>
          </w:tcPr>
          <w:p w14:paraId="72E967D9"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Cost of natural-gas-based boilers, installation, and the annual fixed operating and maintenance costs</w:t>
            </w:r>
          </w:p>
        </w:tc>
      </w:tr>
      <w:tr w:rsidR="005C39A9" w:rsidRPr="0056306A" w14:paraId="2307D391"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1B6C6B71" w14:textId="77777777" w:rsidR="005C39A9" w:rsidRPr="0056306A" w:rsidRDefault="005C39A9" w:rsidP="00123E97">
            <w:pPr>
              <w:jc w:val="left"/>
              <w:rPr>
                <w:b w:val="0"/>
                <w:bCs w:val="0"/>
              </w:rPr>
            </w:pPr>
            <w:r w:rsidRPr="0056306A">
              <w:t>C: H2 boiler </w:t>
            </w:r>
          </w:p>
        </w:tc>
        <w:tc>
          <w:tcPr>
            <w:tcW w:w="1641" w:type="dxa"/>
            <w:tcBorders>
              <w:left w:val="nil"/>
              <w:right w:val="nil"/>
            </w:tcBorders>
            <w:hideMark/>
          </w:tcPr>
          <w:p w14:paraId="29628C05" w14:textId="77777777"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Gas heating </w:t>
            </w:r>
          </w:p>
        </w:tc>
        <w:tc>
          <w:tcPr>
            <w:tcW w:w="4999" w:type="dxa"/>
            <w:tcBorders>
              <w:left w:val="nil"/>
              <w:right w:val="nil"/>
            </w:tcBorders>
            <w:hideMark/>
          </w:tcPr>
          <w:p w14:paraId="44A2579C"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Cost of hydrogen-based boilers, installation, and the annual fixed operating and maintenance costs</w:t>
            </w:r>
          </w:p>
        </w:tc>
      </w:tr>
      <w:tr w:rsidR="005C39A9" w:rsidRPr="0056306A" w14:paraId="6E2E53EC"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7E4C179F" w14:textId="77777777" w:rsidR="005C39A9" w:rsidRPr="0056306A" w:rsidRDefault="005C39A9" w:rsidP="00123E97">
            <w:pPr>
              <w:jc w:val="left"/>
              <w:rPr>
                <w:b w:val="0"/>
                <w:bCs w:val="0"/>
              </w:rPr>
            </w:pPr>
            <w:r w:rsidRPr="0056306A">
              <w:t>C: Gas network </w:t>
            </w:r>
          </w:p>
        </w:tc>
        <w:tc>
          <w:tcPr>
            <w:tcW w:w="1641" w:type="dxa"/>
            <w:tcBorders>
              <w:top w:val="nil"/>
              <w:left w:val="nil"/>
              <w:bottom w:val="nil"/>
              <w:right w:val="nil"/>
            </w:tcBorders>
            <w:hideMark/>
          </w:tcPr>
          <w:p w14:paraId="48332692"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Gas heating </w:t>
            </w:r>
          </w:p>
        </w:tc>
        <w:tc>
          <w:tcPr>
            <w:tcW w:w="4999" w:type="dxa"/>
            <w:tcBorders>
              <w:top w:val="nil"/>
              <w:left w:val="nil"/>
              <w:bottom w:val="nil"/>
              <w:right w:val="nil"/>
            </w:tcBorders>
            <w:hideMark/>
          </w:tcPr>
          <w:p w14:paraId="6D5B99F6"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Cost of retaining the present gas distribution network. It is applied to the H2 and Hybrid pathways.</w:t>
            </w:r>
          </w:p>
        </w:tc>
      </w:tr>
      <w:tr w:rsidR="005C39A9" w:rsidRPr="0056306A" w14:paraId="6D7FA145"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025671C2" w14:textId="77777777" w:rsidR="005C39A9" w:rsidRPr="0056306A" w:rsidRDefault="005C39A9" w:rsidP="00123E97">
            <w:pPr>
              <w:jc w:val="left"/>
              <w:rPr>
                <w:b w:val="0"/>
                <w:bCs w:val="0"/>
              </w:rPr>
            </w:pPr>
            <w:r w:rsidRPr="0056306A">
              <w:t>C: DH (network) </w:t>
            </w:r>
          </w:p>
        </w:tc>
        <w:tc>
          <w:tcPr>
            <w:tcW w:w="1641" w:type="dxa"/>
            <w:tcBorders>
              <w:left w:val="nil"/>
              <w:right w:val="nil"/>
            </w:tcBorders>
            <w:hideMark/>
          </w:tcPr>
          <w:p w14:paraId="4956DE0B" w14:textId="77777777"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District heating </w:t>
            </w:r>
          </w:p>
        </w:tc>
        <w:tc>
          <w:tcPr>
            <w:tcW w:w="4999" w:type="dxa"/>
            <w:tcBorders>
              <w:left w:val="nil"/>
              <w:right w:val="nil"/>
            </w:tcBorders>
            <w:hideMark/>
          </w:tcPr>
          <w:p w14:paraId="2491192D" w14:textId="77777777"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Cost of district heating networks, including the operating and maintenance cost</w:t>
            </w:r>
          </w:p>
        </w:tc>
      </w:tr>
      <w:tr w:rsidR="005C39A9" w:rsidRPr="0056306A" w14:paraId="729FA91A"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nil"/>
              <w:left w:val="nil"/>
              <w:bottom w:val="nil"/>
              <w:right w:val="nil"/>
            </w:tcBorders>
            <w:hideMark/>
          </w:tcPr>
          <w:p w14:paraId="545AD0AC" w14:textId="2EC982C6" w:rsidR="005C39A9" w:rsidRPr="0056306A" w:rsidRDefault="005C39A9" w:rsidP="00123E97">
            <w:pPr>
              <w:jc w:val="left"/>
              <w:rPr>
                <w:b w:val="0"/>
                <w:bCs w:val="0"/>
              </w:rPr>
            </w:pPr>
            <w:proofErr w:type="gramStart"/>
            <w:r w:rsidRPr="0056306A">
              <w:lastRenderedPageBreak/>
              <w:t>C:DH</w:t>
            </w:r>
            <w:proofErr w:type="gramEnd"/>
            <w:r w:rsidRPr="0056306A">
              <w:t xml:space="preserve"> (appliance) </w:t>
            </w:r>
          </w:p>
        </w:tc>
        <w:tc>
          <w:tcPr>
            <w:tcW w:w="1641" w:type="dxa"/>
            <w:tcBorders>
              <w:top w:val="nil"/>
              <w:left w:val="nil"/>
              <w:bottom w:val="nil"/>
              <w:right w:val="nil"/>
            </w:tcBorders>
            <w:hideMark/>
          </w:tcPr>
          <w:p w14:paraId="3B043305"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District heating </w:t>
            </w:r>
          </w:p>
        </w:tc>
        <w:tc>
          <w:tcPr>
            <w:tcW w:w="4999" w:type="dxa"/>
            <w:tcBorders>
              <w:top w:val="nil"/>
              <w:left w:val="nil"/>
              <w:bottom w:val="nil"/>
              <w:right w:val="nil"/>
            </w:tcBorders>
            <w:hideMark/>
          </w:tcPr>
          <w:p w14:paraId="2B262D2C"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Cost of household heat infrastructure needed for the district heating system, e.g. metering, heat control, and connection to the main heat network</w:t>
            </w:r>
          </w:p>
        </w:tc>
      </w:tr>
      <w:tr w:rsidR="005C39A9" w:rsidRPr="0056306A" w14:paraId="648C15C8"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left w:val="nil"/>
              <w:right w:val="nil"/>
            </w:tcBorders>
            <w:hideMark/>
          </w:tcPr>
          <w:p w14:paraId="72274C85" w14:textId="03AAA540" w:rsidR="005C39A9" w:rsidRPr="0056306A" w:rsidRDefault="005C39A9" w:rsidP="00123E97">
            <w:pPr>
              <w:jc w:val="left"/>
              <w:rPr>
                <w:b w:val="0"/>
                <w:bCs w:val="0"/>
              </w:rPr>
            </w:pPr>
            <w:proofErr w:type="gramStart"/>
            <w:r w:rsidRPr="0056306A">
              <w:t>C:DH</w:t>
            </w:r>
            <w:proofErr w:type="gramEnd"/>
            <w:r w:rsidRPr="0056306A">
              <w:t xml:space="preserve"> (conversion) </w:t>
            </w:r>
          </w:p>
        </w:tc>
        <w:tc>
          <w:tcPr>
            <w:tcW w:w="1641" w:type="dxa"/>
            <w:tcBorders>
              <w:left w:val="nil"/>
              <w:right w:val="nil"/>
            </w:tcBorders>
            <w:hideMark/>
          </w:tcPr>
          <w:p w14:paraId="68AF70BE" w14:textId="77777777"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District heating </w:t>
            </w:r>
          </w:p>
        </w:tc>
        <w:tc>
          <w:tcPr>
            <w:tcW w:w="4999" w:type="dxa"/>
            <w:tcBorders>
              <w:left w:val="nil"/>
              <w:right w:val="nil"/>
            </w:tcBorders>
            <w:hideMark/>
          </w:tcPr>
          <w:p w14:paraId="2D850E8D" w14:textId="3061F382"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Cost of decommissioning natural-gas appliances including replacing the gas hob and gas oven with an electric hob and oven and add</w:t>
            </w:r>
            <w:r w:rsidR="001F5821">
              <w:t>ing</w:t>
            </w:r>
            <w:r w:rsidRPr="0056306A">
              <w:t xml:space="preserve"> the hot-water storage system</w:t>
            </w:r>
          </w:p>
        </w:tc>
      </w:tr>
      <w:tr w:rsidR="005C39A9" w:rsidRPr="0056306A" w14:paraId="4999F7EC"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single" w:sz="4" w:space="0" w:color="7F7F7F" w:themeColor="text1" w:themeTint="80"/>
              <w:left w:val="nil"/>
              <w:bottom w:val="single" w:sz="4" w:space="0" w:color="auto"/>
              <w:right w:val="nil"/>
            </w:tcBorders>
            <w:hideMark/>
          </w:tcPr>
          <w:p w14:paraId="6D2C7C56" w14:textId="77777777" w:rsidR="005C39A9" w:rsidRPr="0056306A" w:rsidRDefault="005C39A9" w:rsidP="00123E97">
            <w:pPr>
              <w:jc w:val="left"/>
            </w:pPr>
            <w:r w:rsidRPr="0056306A">
              <w:t>C: HHP </w:t>
            </w:r>
          </w:p>
        </w:tc>
        <w:tc>
          <w:tcPr>
            <w:tcW w:w="1641" w:type="dxa"/>
            <w:tcBorders>
              <w:top w:val="single" w:sz="4" w:space="0" w:color="7F7F7F" w:themeColor="text1" w:themeTint="80"/>
              <w:left w:val="nil"/>
              <w:bottom w:val="single" w:sz="4" w:space="0" w:color="auto"/>
              <w:right w:val="nil"/>
            </w:tcBorders>
            <w:hideMark/>
          </w:tcPr>
          <w:p w14:paraId="5EAAD18C"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C: HHP heating </w:t>
            </w:r>
          </w:p>
        </w:tc>
        <w:tc>
          <w:tcPr>
            <w:tcW w:w="4999" w:type="dxa"/>
            <w:tcBorders>
              <w:top w:val="single" w:sz="4" w:space="0" w:color="7F7F7F" w:themeColor="text1" w:themeTint="80"/>
              <w:left w:val="nil"/>
              <w:bottom w:val="single" w:sz="4" w:space="0" w:color="auto"/>
              <w:right w:val="nil"/>
            </w:tcBorders>
          </w:tcPr>
          <w:p w14:paraId="5A35CDB0" w14:textId="42699EE9"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r w:rsidRPr="0056306A">
              <w:t xml:space="preserve">Capital cost of heat pump, natural gas or hydrogen boiler, control system and the fitting cost. </w:t>
            </w:r>
          </w:p>
          <w:p w14:paraId="5D20AD01" w14:textId="77777777" w:rsidR="005C39A9" w:rsidRPr="0056306A" w:rsidRDefault="005C39A9" w:rsidP="00123E97">
            <w:pPr>
              <w:cnfStyle w:val="000000000000" w:firstRow="0" w:lastRow="0" w:firstColumn="0" w:lastColumn="0" w:oddVBand="0" w:evenVBand="0" w:oddHBand="0" w:evenHBand="0" w:firstRowFirstColumn="0" w:firstRowLastColumn="0" w:lastRowFirstColumn="0" w:lastRowLastColumn="0"/>
            </w:pPr>
          </w:p>
        </w:tc>
      </w:tr>
      <w:tr w:rsidR="005C39A9" w:rsidRPr="0056306A" w14:paraId="47D1D94A" w14:textId="77777777" w:rsidTr="00123E9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single" w:sz="4" w:space="0" w:color="auto"/>
              <w:left w:val="nil"/>
              <w:bottom w:val="single" w:sz="4" w:space="0" w:color="auto"/>
              <w:right w:val="nil"/>
            </w:tcBorders>
          </w:tcPr>
          <w:p w14:paraId="1578E9A4" w14:textId="63CB888F" w:rsidR="005C39A9" w:rsidRPr="0056306A" w:rsidRDefault="005C39A9" w:rsidP="00123E97">
            <w:pPr>
              <w:jc w:val="left"/>
            </w:pPr>
            <w:r w:rsidRPr="0056306A">
              <w:t>C: DR</w:t>
            </w:r>
          </w:p>
        </w:tc>
        <w:tc>
          <w:tcPr>
            <w:tcW w:w="1641" w:type="dxa"/>
            <w:tcBorders>
              <w:top w:val="single" w:sz="4" w:space="0" w:color="auto"/>
              <w:left w:val="nil"/>
              <w:bottom w:val="single" w:sz="4" w:space="0" w:color="auto"/>
              <w:right w:val="nil"/>
            </w:tcBorders>
          </w:tcPr>
          <w:p w14:paraId="5AA7EB14" w14:textId="36B052F6" w:rsidR="005C39A9" w:rsidRPr="0056306A" w:rsidRDefault="005C39A9" w:rsidP="00123E97">
            <w:pPr>
              <w:jc w:val="left"/>
              <w:cnfStyle w:val="000000100000" w:firstRow="0" w:lastRow="0" w:firstColumn="0" w:lastColumn="0" w:oddVBand="0" w:evenVBand="0" w:oddHBand="1" w:evenHBand="0" w:firstRowFirstColumn="0" w:firstRowLastColumn="0" w:lastRowFirstColumn="0" w:lastRowLastColumn="0"/>
            </w:pPr>
            <w:r w:rsidRPr="0056306A">
              <w:t>C: Demand response</w:t>
            </w:r>
          </w:p>
        </w:tc>
        <w:tc>
          <w:tcPr>
            <w:tcW w:w="4999" w:type="dxa"/>
            <w:tcBorders>
              <w:top w:val="single" w:sz="4" w:space="0" w:color="auto"/>
              <w:left w:val="nil"/>
              <w:bottom w:val="single" w:sz="4" w:space="0" w:color="auto"/>
              <w:right w:val="nil"/>
            </w:tcBorders>
          </w:tcPr>
          <w:p w14:paraId="76F24870" w14:textId="6F471B0A" w:rsidR="005C39A9" w:rsidRPr="0056306A" w:rsidRDefault="005C39A9" w:rsidP="00123E97">
            <w:pPr>
              <w:cnfStyle w:val="000000100000" w:firstRow="0" w:lastRow="0" w:firstColumn="0" w:lastColumn="0" w:oddVBand="0" w:evenVBand="0" w:oddHBand="1" w:evenHBand="0" w:firstRowFirstColumn="0" w:firstRowLastColumn="0" w:lastRowFirstColumn="0" w:lastRowLastColumn="0"/>
            </w:pPr>
            <w:r w:rsidRPr="0056306A">
              <w:t>Capital cost of demand response technologies</w:t>
            </w:r>
          </w:p>
        </w:tc>
      </w:tr>
      <w:tr w:rsidR="005C39A9" w:rsidRPr="00CF7F59" w14:paraId="5AEC473C" w14:textId="77777777" w:rsidTr="00123E97">
        <w:trPr>
          <w:trHeight w:val="315"/>
        </w:trPr>
        <w:tc>
          <w:tcPr>
            <w:cnfStyle w:val="001000000000" w:firstRow="0" w:lastRow="0" w:firstColumn="1" w:lastColumn="0" w:oddVBand="0" w:evenVBand="0" w:oddHBand="0" w:evenHBand="0" w:firstRowFirstColumn="0" w:firstRowLastColumn="0" w:lastRowFirstColumn="0" w:lastRowLastColumn="0"/>
            <w:tcW w:w="1724" w:type="dxa"/>
            <w:tcBorders>
              <w:top w:val="single" w:sz="4" w:space="0" w:color="auto"/>
              <w:left w:val="nil"/>
              <w:bottom w:val="single" w:sz="4" w:space="0" w:color="auto"/>
              <w:right w:val="nil"/>
            </w:tcBorders>
            <w:hideMark/>
          </w:tcPr>
          <w:p w14:paraId="456B61C9" w14:textId="69021D5E" w:rsidR="005C39A9" w:rsidRPr="0056306A" w:rsidRDefault="005C39A9" w:rsidP="00123E97">
            <w:pPr>
              <w:jc w:val="left"/>
            </w:pPr>
            <w:r w:rsidRPr="0056306A">
              <w:t>R: Electricity Export</w:t>
            </w:r>
          </w:p>
        </w:tc>
        <w:tc>
          <w:tcPr>
            <w:tcW w:w="1641" w:type="dxa"/>
            <w:tcBorders>
              <w:top w:val="single" w:sz="4" w:space="0" w:color="auto"/>
              <w:left w:val="nil"/>
              <w:bottom w:val="single" w:sz="4" w:space="0" w:color="auto"/>
              <w:right w:val="nil"/>
            </w:tcBorders>
            <w:hideMark/>
          </w:tcPr>
          <w:p w14:paraId="43933DA7" w14:textId="77777777" w:rsidR="005C39A9" w:rsidRPr="0056306A" w:rsidRDefault="005C39A9" w:rsidP="00123E97">
            <w:pPr>
              <w:jc w:val="left"/>
              <w:cnfStyle w:val="000000000000" w:firstRow="0" w:lastRow="0" w:firstColumn="0" w:lastColumn="0" w:oddVBand="0" w:evenVBand="0" w:oddHBand="0" w:evenHBand="0" w:firstRowFirstColumn="0" w:firstRowLastColumn="0" w:lastRowFirstColumn="0" w:lastRowLastColumn="0"/>
            </w:pPr>
            <w:r w:rsidRPr="0056306A">
              <w:t>R: Electricity Export</w:t>
            </w:r>
          </w:p>
        </w:tc>
        <w:tc>
          <w:tcPr>
            <w:tcW w:w="4999" w:type="dxa"/>
            <w:tcBorders>
              <w:top w:val="single" w:sz="4" w:space="0" w:color="auto"/>
              <w:left w:val="nil"/>
              <w:bottom w:val="single" w:sz="4" w:space="0" w:color="auto"/>
              <w:right w:val="nil"/>
            </w:tcBorders>
            <w:hideMark/>
          </w:tcPr>
          <w:p w14:paraId="02B0FD26" w14:textId="77777777" w:rsidR="005C39A9" w:rsidRPr="00CF7F59" w:rsidRDefault="005C39A9" w:rsidP="00123E97">
            <w:pPr>
              <w:cnfStyle w:val="000000000000" w:firstRow="0" w:lastRow="0" w:firstColumn="0" w:lastColumn="0" w:oddVBand="0" w:evenVBand="0" w:oddHBand="0" w:evenHBand="0" w:firstRowFirstColumn="0" w:firstRowLastColumn="0" w:lastRowFirstColumn="0" w:lastRowLastColumn="0"/>
            </w:pPr>
            <w:r w:rsidRPr="0056306A">
              <w:t>Estimated revenue from electricity export (calculated based on the average electricity cost)</w:t>
            </w:r>
          </w:p>
        </w:tc>
      </w:tr>
    </w:tbl>
    <w:p w14:paraId="6562638B" w14:textId="4D261BC0" w:rsidR="00662ECE" w:rsidRPr="00CF7F59" w:rsidRDefault="00662ECE" w:rsidP="00771BE8"/>
    <w:sectPr w:rsidR="00662ECE" w:rsidRPr="00CF7F59" w:rsidSect="00597F6B">
      <w:headerReference w:type="even" r:id="rId39"/>
      <w:headerReference w:type="default" r:id="rId40"/>
      <w:footerReference w:type="even" r:id="rId41"/>
      <w:footerReference w:type="default" r:id="rId42"/>
      <w:headerReference w:type="first" r:id="rId43"/>
      <w:footerReference w:type="first" r:id="rId44"/>
      <w:pgSz w:w="11907" w:h="16840" w:code="11"/>
      <w:pgMar w:top="1418" w:right="1418" w:bottom="1702" w:left="1418" w:header="720" w:footer="1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2CA3EE" w14:textId="77777777" w:rsidR="006140F2" w:rsidRDefault="006140F2" w:rsidP="00903EB8">
      <w:r>
        <w:separator/>
      </w:r>
    </w:p>
    <w:p w14:paraId="5299AFD6" w14:textId="77777777" w:rsidR="006140F2" w:rsidRDefault="006140F2" w:rsidP="00903EB8"/>
  </w:endnote>
  <w:endnote w:type="continuationSeparator" w:id="0">
    <w:p w14:paraId="072E2C10" w14:textId="77777777" w:rsidR="006140F2" w:rsidRDefault="006140F2" w:rsidP="00903EB8">
      <w:r>
        <w:continuationSeparator/>
      </w:r>
    </w:p>
    <w:p w14:paraId="115D1D15" w14:textId="77777777" w:rsidR="006140F2" w:rsidRDefault="006140F2" w:rsidP="00903EB8"/>
  </w:endnote>
  <w:endnote w:type="continuationNotice" w:id="1">
    <w:p w14:paraId="5172EA9B" w14:textId="77777777" w:rsidR="006140F2" w:rsidRDefault="006140F2" w:rsidP="00903EB8"/>
    <w:p w14:paraId="409F0B22" w14:textId="77777777" w:rsidR="006140F2" w:rsidRDefault="006140F2" w:rsidP="00903E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ova">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8C386" w14:textId="77777777" w:rsidR="00C67BC8" w:rsidRDefault="00C67BC8" w:rsidP="00903EB8">
    <w:pPr>
      <w:pStyle w:val="Footer"/>
    </w:pPr>
  </w:p>
  <w:p w14:paraId="3A65D747" w14:textId="77777777" w:rsidR="00C67BC8" w:rsidRDefault="00C67BC8" w:rsidP="00903EB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7326633"/>
      <w:docPartObj>
        <w:docPartGallery w:val="Page Numbers (Bottom of Page)"/>
        <w:docPartUnique/>
      </w:docPartObj>
    </w:sdtPr>
    <w:sdtEndPr/>
    <w:sdtContent>
      <w:sdt>
        <w:sdtPr>
          <w:id w:val="-1669238322"/>
          <w:docPartObj>
            <w:docPartGallery w:val="Page Numbers (Top of Page)"/>
            <w:docPartUnique/>
          </w:docPartObj>
        </w:sdtPr>
        <w:sdtEndPr/>
        <w:sdtContent>
          <w:p w14:paraId="33E64781" w14:textId="028CCFD5" w:rsidR="00C67BC8" w:rsidRDefault="00C67BC8" w:rsidP="00597F6B">
            <w:pPr>
              <w:pStyle w:val="Footer"/>
              <w:jc w:val="center"/>
            </w:pPr>
            <w:r>
              <w:t xml:space="preserve">Page </w:t>
            </w:r>
            <w:r>
              <w:rPr>
                <w:sz w:val="24"/>
                <w:szCs w:val="24"/>
              </w:rPr>
              <w:fldChar w:fldCharType="begin"/>
            </w:r>
            <w:r>
              <w:instrText xml:space="preserve"> PAGE </w:instrText>
            </w:r>
            <w:r>
              <w:rPr>
                <w:sz w:val="24"/>
                <w:szCs w:val="24"/>
              </w:rPr>
              <w:fldChar w:fldCharType="separate"/>
            </w:r>
            <w:r w:rsidR="00E51E88">
              <w:rPr>
                <w:noProof/>
              </w:rPr>
              <w:t>22</w:t>
            </w:r>
            <w:r>
              <w:rPr>
                <w:sz w:val="24"/>
                <w:szCs w:val="24"/>
              </w:rPr>
              <w:fldChar w:fldCharType="end"/>
            </w:r>
            <w:r>
              <w:t xml:space="preserve"> of </w:t>
            </w:r>
            <w:r>
              <w:fldChar w:fldCharType="begin"/>
            </w:r>
            <w:r>
              <w:instrText>NUMPAGES</w:instrText>
            </w:r>
            <w:r>
              <w:fldChar w:fldCharType="separate"/>
            </w:r>
            <w:r w:rsidR="00E51E88">
              <w:rPr>
                <w:noProof/>
              </w:rPr>
              <w:t>71</w:t>
            </w:r>
            <w:r>
              <w:fldChar w:fldCharType="end"/>
            </w:r>
          </w:p>
        </w:sdtContent>
      </w:sdt>
    </w:sdtContent>
  </w:sdt>
  <w:p w14:paraId="033C3878" w14:textId="77777777" w:rsidR="00C67BC8" w:rsidRDefault="00C67BC8" w:rsidP="00903EB8">
    <w:pPr>
      <w:pStyle w:val="Footer"/>
    </w:pPr>
  </w:p>
  <w:p w14:paraId="4E6D5B83" w14:textId="77777777" w:rsidR="00C67BC8" w:rsidRDefault="00C67BC8" w:rsidP="00903EB8"/>
  <w:p w14:paraId="054BF1B2" w14:textId="77777777" w:rsidR="00C67BC8" w:rsidRDefault="00C67BC8" w:rsidP="00903EB8"/>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49123" w14:textId="77777777" w:rsidR="007A4CB4" w:rsidRDefault="007A4C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04B664" w14:textId="77777777" w:rsidR="006140F2" w:rsidRDefault="006140F2" w:rsidP="00903EB8">
      <w:r>
        <w:separator/>
      </w:r>
    </w:p>
    <w:p w14:paraId="48D5FFDB" w14:textId="77777777" w:rsidR="006140F2" w:rsidRDefault="006140F2" w:rsidP="00903EB8"/>
  </w:footnote>
  <w:footnote w:type="continuationSeparator" w:id="0">
    <w:p w14:paraId="31128895" w14:textId="77777777" w:rsidR="006140F2" w:rsidRDefault="006140F2" w:rsidP="00903EB8">
      <w:r>
        <w:continuationSeparator/>
      </w:r>
    </w:p>
    <w:p w14:paraId="2F0E7813" w14:textId="77777777" w:rsidR="006140F2" w:rsidRDefault="006140F2" w:rsidP="00903EB8"/>
  </w:footnote>
  <w:footnote w:type="continuationNotice" w:id="1">
    <w:p w14:paraId="69495A37" w14:textId="77777777" w:rsidR="006140F2" w:rsidRDefault="006140F2" w:rsidP="00903EB8"/>
    <w:p w14:paraId="3E16E88A" w14:textId="77777777" w:rsidR="006140F2" w:rsidRDefault="006140F2" w:rsidP="00903EB8"/>
  </w:footnote>
  <w:footnote w:id="2">
    <w:p w14:paraId="7484AE5D" w14:textId="77777777" w:rsidR="00235E5A" w:rsidRDefault="00235E5A" w:rsidP="00235E5A">
      <w:pPr>
        <w:pStyle w:val="FootnoteText"/>
        <w:ind w:left="284" w:hanging="284"/>
      </w:pPr>
      <w:r>
        <w:rPr>
          <w:rStyle w:val="FootnoteReference"/>
        </w:rPr>
        <w:footnoteRef/>
      </w:r>
      <w:r>
        <w:t xml:space="preserve"> </w:t>
      </w:r>
      <w:r>
        <w:tab/>
        <w:t>All costs are presented as real value in 2020.</w:t>
      </w:r>
    </w:p>
  </w:footnote>
  <w:footnote w:id="3">
    <w:p w14:paraId="1B096A83" w14:textId="17D3DB38" w:rsidR="009B6286" w:rsidRDefault="009B6286">
      <w:pPr>
        <w:pStyle w:val="FootnoteText"/>
      </w:pPr>
      <w:r>
        <w:rPr>
          <w:rStyle w:val="FootnoteReference"/>
        </w:rPr>
        <w:footnoteRef/>
      </w:r>
      <w:r>
        <w:t xml:space="preserve"> It is assumed that all electrolysers are large-scale and transmission grid connected.</w:t>
      </w:r>
    </w:p>
  </w:footnote>
  <w:footnote w:id="4">
    <w:p w14:paraId="241795FD" w14:textId="77777777" w:rsidR="00A31D66" w:rsidRPr="00390E22" w:rsidRDefault="00A31D66" w:rsidP="00390E22">
      <w:pPr>
        <w:pStyle w:val="FootnoteText"/>
        <w:jc w:val="left"/>
        <w:rPr>
          <w:rFonts w:ascii="Arial Nova" w:hAnsi="Arial Nova"/>
          <w:sz w:val="16"/>
          <w:szCs w:val="16"/>
        </w:rPr>
      </w:pPr>
      <w:r w:rsidRPr="00390E22">
        <w:rPr>
          <w:rStyle w:val="FootnoteReference"/>
          <w:rFonts w:ascii="Arial Nova" w:hAnsi="Arial Nova"/>
          <w:sz w:val="16"/>
          <w:szCs w:val="16"/>
        </w:rPr>
        <w:footnoteRef/>
      </w:r>
      <w:r w:rsidRPr="00390E22">
        <w:rPr>
          <w:rFonts w:ascii="Arial Nova" w:hAnsi="Arial Nova"/>
          <w:sz w:val="16"/>
          <w:szCs w:val="16"/>
        </w:rPr>
        <w:t xml:space="preserve"> UK Gov, https://www.gov.uk/government/news/uk-signs-agreement-on-offshore-renewable-energy-cooperation</w:t>
      </w:r>
    </w:p>
  </w:footnote>
  <w:footnote w:id="5">
    <w:p w14:paraId="37E1BDDD" w14:textId="64ABFB86" w:rsidR="00A31D66" w:rsidRDefault="00A31D66" w:rsidP="00390E22">
      <w:pPr>
        <w:pStyle w:val="FootnoteText"/>
        <w:jc w:val="left"/>
      </w:pPr>
      <w:r w:rsidRPr="00390E22">
        <w:rPr>
          <w:rStyle w:val="FootnoteReference"/>
          <w:rFonts w:ascii="Arial Nova" w:hAnsi="Arial Nova"/>
          <w:sz w:val="16"/>
          <w:szCs w:val="16"/>
        </w:rPr>
        <w:footnoteRef/>
      </w:r>
      <w:r w:rsidRPr="00390E22">
        <w:rPr>
          <w:rFonts w:ascii="Arial Nova" w:hAnsi="Arial Nova"/>
          <w:sz w:val="16"/>
          <w:szCs w:val="16"/>
        </w:rPr>
        <w:t xml:space="preserve"> National</w:t>
      </w:r>
      <w:r w:rsidR="0098275B">
        <w:rPr>
          <w:rFonts w:ascii="Arial Nova" w:hAnsi="Arial Nova"/>
          <w:sz w:val="16"/>
          <w:szCs w:val="16"/>
        </w:rPr>
        <w:t xml:space="preserve"> </w:t>
      </w:r>
      <w:r w:rsidRPr="00390E22">
        <w:rPr>
          <w:rFonts w:ascii="Arial Nova" w:hAnsi="Arial Nova"/>
          <w:sz w:val="16"/>
          <w:szCs w:val="16"/>
        </w:rPr>
        <w:t>Grid</w:t>
      </w:r>
      <w:r w:rsidR="0098275B">
        <w:rPr>
          <w:rFonts w:ascii="Arial Nova" w:hAnsi="Arial Nova"/>
          <w:sz w:val="16"/>
          <w:szCs w:val="16"/>
        </w:rPr>
        <w:t xml:space="preserve"> </w:t>
      </w:r>
      <w:r w:rsidRPr="00390E22">
        <w:rPr>
          <w:rFonts w:ascii="Arial Nova" w:hAnsi="Arial Nova"/>
          <w:sz w:val="16"/>
          <w:szCs w:val="16"/>
        </w:rPr>
        <w:t>ESO, Future Energy Scenarios 2022, 2022, Available at https://www.nationalgrideso.com/document/263951/download</w:t>
      </w:r>
    </w:p>
  </w:footnote>
  <w:footnote w:id="6">
    <w:p w14:paraId="278552B1" w14:textId="77777777" w:rsidR="009049C6" w:rsidRDefault="009049C6" w:rsidP="009049C6">
      <w:pPr>
        <w:pStyle w:val="FootnoteText"/>
      </w:pPr>
      <w:r>
        <w:rPr>
          <w:rStyle w:val="FootnoteReference"/>
        </w:rPr>
        <w:footnoteRef/>
      </w:r>
      <w:r>
        <w:t xml:space="preserve"> Derived from Leading the Way 2050 in FES 2022 by National Grid ESO</w:t>
      </w:r>
    </w:p>
  </w:footnote>
  <w:footnote w:id="7">
    <w:p w14:paraId="47797C99" w14:textId="77777777" w:rsidR="00C67BC8" w:rsidRDefault="00C67BC8" w:rsidP="00715FBC">
      <w:pPr>
        <w:pStyle w:val="FootnoteText"/>
        <w:ind w:left="284" w:hanging="284"/>
      </w:pPr>
      <w:r>
        <w:rPr>
          <w:rStyle w:val="FootnoteReference"/>
        </w:rPr>
        <w:footnoteRef/>
      </w:r>
      <w:r>
        <w:t xml:space="preserve"> </w:t>
      </w:r>
      <w:r>
        <w:tab/>
      </w:r>
      <w:r w:rsidRPr="002C3CEB">
        <w:t xml:space="preserve">Carbon Trust, G.Strbac, D.Pudjianto,”Flexibility in Great Britain,” May 2021 – Available at: </w:t>
      </w:r>
      <w:hyperlink r:id="rId1" w:history="1">
        <w:r w:rsidRPr="005424E2">
          <w:rPr>
            <w:rStyle w:val="Hyperlink"/>
          </w:rPr>
          <w:t>https://publications.carbontrust.com/flex-gb/analysis/</w:t>
        </w:r>
      </w:hyperlink>
    </w:p>
  </w:footnote>
  <w:footnote w:id="8">
    <w:p w14:paraId="1AADD06D" w14:textId="77777777" w:rsidR="00C67BC8" w:rsidRDefault="00C67BC8" w:rsidP="00715FBC">
      <w:pPr>
        <w:pStyle w:val="FootnoteText"/>
        <w:ind w:left="284" w:hanging="284"/>
      </w:pPr>
      <w:r>
        <w:rPr>
          <w:rStyle w:val="FootnoteReference"/>
        </w:rPr>
        <w:footnoteRef/>
      </w:r>
      <w:r>
        <w:t xml:space="preserve"> </w:t>
      </w:r>
      <w:r>
        <w:tab/>
      </w:r>
      <w:r w:rsidRPr="002C3CEB">
        <w:t xml:space="preserve">G.Strbac, D. Pudjianto, et al,”Analysis of Alternative UK Heat Decarbonisation Pathways”, a report to the Committee on Climate Change, June 2018. Available at: </w:t>
      </w:r>
      <w:hyperlink r:id="rId2" w:history="1">
        <w:r w:rsidRPr="005424E2">
          <w:rPr>
            <w:rStyle w:val="Hyperlink"/>
          </w:rPr>
          <w:t>https://www.theccc.org.uk/wp-content/uploads/2018/06/Imperial-College-2018-Analysis-of-Alternative-UK-Heat-Decarbonisation-Pathways.pdf</w:t>
        </w:r>
      </w:hyperlink>
    </w:p>
  </w:footnote>
  <w:footnote w:id="9">
    <w:p w14:paraId="1921AD15" w14:textId="77777777" w:rsidR="00C67BC8" w:rsidRDefault="00C67BC8" w:rsidP="00715FBC">
      <w:pPr>
        <w:pStyle w:val="FootnoteText"/>
        <w:ind w:left="284" w:hanging="284"/>
      </w:pPr>
      <w:r>
        <w:rPr>
          <w:rStyle w:val="FootnoteReference"/>
        </w:rPr>
        <w:footnoteRef/>
      </w:r>
      <w:r>
        <w:t xml:space="preserve"> </w:t>
      </w:r>
      <w:r>
        <w:tab/>
      </w:r>
      <w:r w:rsidRPr="004B63BA">
        <w:t>G. Strbac, M. Aunedi, D. Pudjianto, F. Teng, P. Djapic, R. Druce, A. Carmel, and K. Borkowski, “Value of Flexibility in a Decarbonised Grid and System Externalities of Low-Carbon Generation Technologies,” Imp. Coll. London, NERA Econ. Consult., 2015.</w:t>
      </w:r>
    </w:p>
  </w:footnote>
  <w:footnote w:id="10">
    <w:p w14:paraId="76D63499" w14:textId="02A41FA2" w:rsidR="00C67BC8" w:rsidRDefault="00C67BC8" w:rsidP="00715FBC">
      <w:pPr>
        <w:spacing w:after="0" w:line="240" w:lineRule="auto"/>
        <w:ind w:left="284" w:hanging="284"/>
      </w:pPr>
      <w:r>
        <w:rPr>
          <w:rStyle w:val="FootnoteReference"/>
        </w:rPr>
        <w:footnoteRef/>
      </w:r>
      <w:r>
        <w:t xml:space="preserve"> </w:t>
      </w:r>
      <w:r>
        <w:tab/>
      </w:r>
      <w:r w:rsidRPr="004B63BA">
        <w:t>D.Pudjianto, Luis Badesa, G.Strbac,” Whole-system value of long-duration energy storage in a net-zero emission energy system for Great Britain,” a report for SSE Renewables, Feb 2021.</w:t>
      </w:r>
    </w:p>
  </w:footnote>
  <w:footnote w:id="11">
    <w:p w14:paraId="3575BDFD" w14:textId="77777777" w:rsidR="00C67BC8" w:rsidRDefault="00C67BC8" w:rsidP="005C39A9">
      <w:pPr>
        <w:pStyle w:val="FootnoteText"/>
        <w:ind w:left="284" w:hanging="284"/>
      </w:pPr>
      <w:r>
        <w:rPr>
          <w:rStyle w:val="FootnoteReference"/>
        </w:rPr>
        <w:footnoteRef/>
      </w:r>
      <w:r>
        <w:t xml:space="preserve"> </w:t>
      </w:r>
      <w:r>
        <w:tab/>
        <w:t xml:space="preserve">The annuitisation of capital cost considers hurdle rates and payment periods. </w:t>
      </w:r>
    </w:p>
  </w:footnote>
  <w:footnote w:id="12">
    <w:p w14:paraId="010660B1" w14:textId="77777777" w:rsidR="00C67BC8" w:rsidRDefault="00C67BC8" w:rsidP="005C39A9">
      <w:pPr>
        <w:pStyle w:val="FootnoteText"/>
        <w:ind w:left="284" w:hanging="284"/>
      </w:pPr>
      <w:r>
        <w:rPr>
          <w:rStyle w:val="FootnoteReference"/>
        </w:rPr>
        <w:footnoteRef/>
      </w:r>
      <w:r>
        <w:t xml:space="preserve"> </w:t>
      </w:r>
      <w:r>
        <w:tab/>
        <w:t>Because of this, the Opex for electricity in IWES can produce lower estimates than other models, notably BEIS’s Dynamic Dispatch Model</w:t>
      </w:r>
    </w:p>
  </w:footnote>
  <w:footnote w:id="13">
    <w:p w14:paraId="6CB8083E" w14:textId="59458412" w:rsidR="00C67BC8" w:rsidRDefault="00C67BC8" w:rsidP="005C39A9">
      <w:pPr>
        <w:pStyle w:val="FootnoteText"/>
      </w:pPr>
      <w:r>
        <w:rPr>
          <w:rStyle w:val="FootnoteReference"/>
        </w:rPr>
        <w:footnoteRef/>
      </w:r>
      <w:r>
        <w:t xml:space="preserve"> </w:t>
      </w:r>
      <w:r>
        <w:tab/>
        <w:t>The cost information on DAC is based on the 2018 report by the US National Academies titled "Negative Emissions Technologies and Reliable Sequestration: a research agenda."</w:t>
      </w:r>
    </w:p>
  </w:footnote>
  <w:footnote w:id="14">
    <w:p w14:paraId="6B21173A" w14:textId="77777777" w:rsidR="00C67BC8" w:rsidRDefault="00C67BC8" w:rsidP="005C39A9">
      <w:pPr>
        <w:pStyle w:val="FootnoteText"/>
      </w:pPr>
      <w:r>
        <w:rPr>
          <w:rStyle w:val="FootnoteReference"/>
        </w:rPr>
        <w:footnoteRef/>
      </w:r>
      <w:r>
        <w:t xml:space="preserve"> Operating cost of electrolysers is part of the power sector costs.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57728" w14:textId="77777777" w:rsidR="00C67BC8" w:rsidRDefault="00C67BC8" w:rsidP="00903EB8">
    <w:pPr>
      <w:pStyle w:val="Header"/>
    </w:pPr>
  </w:p>
  <w:p w14:paraId="483392F9" w14:textId="77777777" w:rsidR="00C67BC8" w:rsidRDefault="00C67BC8" w:rsidP="00903EB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44596" w14:textId="119B010E" w:rsidR="007A4CB4" w:rsidRDefault="007A4CB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19991" w14:textId="77777777" w:rsidR="007A4CB4" w:rsidRDefault="007A4C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6C50A51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25FC82D6"/>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8A42410"/>
    <w:multiLevelType w:val="hybridMultilevel"/>
    <w:tmpl w:val="538A2F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E7DDF"/>
    <w:multiLevelType w:val="hybridMultilevel"/>
    <w:tmpl w:val="647ED0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17173A"/>
    <w:multiLevelType w:val="hybridMultilevel"/>
    <w:tmpl w:val="0C044818"/>
    <w:lvl w:ilvl="0" w:tplc="8F041ECA">
      <w:start w:val="1"/>
      <w:numFmt w:val="bullet"/>
      <w:lvlText w:val=""/>
      <w:lvlJc w:val="left"/>
      <w:pPr>
        <w:ind w:left="720" w:hanging="360"/>
      </w:pPr>
      <w:rPr>
        <w:rFonts w:ascii="Symbol" w:hAnsi="Symbol" w:hint="default"/>
      </w:rPr>
    </w:lvl>
    <w:lvl w:ilvl="1" w:tplc="FFFFFFFF">
      <w:start w:val="1"/>
      <w:numFmt w:val="bullet"/>
      <w:pStyle w:val="BodyTex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1A7E7945"/>
    <w:multiLevelType w:val="multilevel"/>
    <w:tmpl w:val="4F4EFD44"/>
    <w:lvl w:ilvl="0">
      <w:start w:val="1"/>
      <w:numFmt w:val="decimal"/>
      <w:pStyle w:val="ReferenceTitle"/>
      <w:suff w:val="nothing"/>
      <w:lvlText w:val="[%1]"/>
      <w:lvlJc w:val="left"/>
      <w:pPr>
        <w:ind w:left="454" w:hanging="454"/>
      </w:pPr>
      <w:rPr>
        <w:rFonts w:ascii="Calibri" w:hAnsi="Calibri" w:hint="default"/>
        <w:b w:val="0"/>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1C093CBD"/>
    <w:multiLevelType w:val="multilevel"/>
    <w:tmpl w:val="A91C3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C577842"/>
    <w:multiLevelType w:val="hybridMultilevel"/>
    <w:tmpl w:val="46EADD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C8437EC"/>
    <w:multiLevelType w:val="multilevel"/>
    <w:tmpl w:val="A8205FB4"/>
    <w:lvl w:ilvl="0">
      <w:start w:val="1"/>
      <w:numFmt w:val="upperLetter"/>
      <w:lvlText w:val="Appendix %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3DC64CA"/>
    <w:multiLevelType w:val="hybridMultilevel"/>
    <w:tmpl w:val="EDCEB736"/>
    <w:lvl w:ilvl="0" w:tplc="27BA84B4">
      <w:start w:val="1"/>
      <w:numFmt w:val="bullet"/>
      <w:lvlText w:val="•"/>
      <w:lvlJc w:val="left"/>
      <w:pPr>
        <w:tabs>
          <w:tab w:val="num" w:pos="720"/>
        </w:tabs>
        <w:ind w:left="720" w:hanging="360"/>
      </w:pPr>
      <w:rPr>
        <w:rFonts w:ascii="Arial" w:hAnsi="Arial" w:hint="default"/>
      </w:rPr>
    </w:lvl>
    <w:lvl w:ilvl="1" w:tplc="83A4B5A6" w:tentative="1">
      <w:start w:val="1"/>
      <w:numFmt w:val="bullet"/>
      <w:lvlText w:val="•"/>
      <w:lvlJc w:val="left"/>
      <w:pPr>
        <w:tabs>
          <w:tab w:val="num" w:pos="1440"/>
        </w:tabs>
        <w:ind w:left="1440" w:hanging="360"/>
      </w:pPr>
      <w:rPr>
        <w:rFonts w:ascii="Arial" w:hAnsi="Arial" w:hint="default"/>
      </w:rPr>
    </w:lvl>
    <w:lvl w:ilvl="2" w:tplc="54387EB8" w:tentative="1">
      <w:start w:val="1"/>
      <w:numFmt w:val="bullet"/>
      <w:lvlText w:val="•"/>
      <w:lvlJc w:val="left"/>
      <w:pPr>
        <w:tabs>
          <w:tab w:val="num" w:pos="2160"/>
        </w:tabs>
        <w:ind w:left="2160" w:hanging="360"/>
      </w:pPr>
      <w:rPr>
        <w:rFonts w:ascii="Arial" w:hAnsi="Arial" w:hint="default"/>
      </w:rPr>
    </w:lvl>
    <w:lvl w:ilvl="3" w:tplc="FDDCA14C" w:tentative="1">
      <w:start w:val="1"/>
      <w:numFmt w:val="bullet"/>
      <w:lvlText w:val="•"/>
      <w:lvlJc w:val="left"/>
      <w:pPr>
        <w:tabs>
          <w:tab w:val="num" w:pos="2880"/>
        </w:tabs>
        <w:ind w:left="2880" w:hanging="360"/>
      </w:pPr>
      <w:rPr>
        <w:rFonts w:ascii="Arial" w:hAnsi="Arial" w:hint="default"/>
      </w:rPr>
    </w:lvl>
    <w:lvl w:ilvl="4" w:tplc="53D6A634" w:tentative="1">
      <w:start w:val="1"/>
      <w:numFmt w:val="bullet"/>
      <w:lvlText w:val="•"/>
      <w:lvlJc w:val="left"/>
      <w:pPr>
        <w:tabs>
          <w:tab w:val="num" w:pos="3600"/>
        </w:tabs>
        <w:ind w:left="3600" w:hanging="360"/>
      </w:pPr>
      <w:rPr>
        <w:rFonts w:ascii="Arial" w:hAnsi="Arial" w:hint="default"/>
      </w:rPr>
    </w:lvl>
    <w:lvl w:ilvl="5" w:tplc="A986ED08" w:tentative="1">
      <w:start w:val="1"/>
      <w:numFmt w:val="bullet"/>
      <w:lvlText w:val="•"/>
      <w:lvlJc w:val="left"/>
      <w:pPr>
        <w:tabs>
          <w:tab w:val="num" w:pos="4320"/>
        </w:tabs>
        <w:ind w:left="4320" w:hanging="360"/>
      </w:pPr>
      <w:rPr>
        <w:rFonts w:ascii="Arial" w:hAnsi="Arial" w:hint="default"/>
      </w:rPr>
    </w:lvl>
    <w:lvl w:ilvl="6" w:tplc="DA520DCA" w:tentative="1">
      <w:start w:val="1"/>
      <w:numFmt w:val="bullet"/>
      <w:lvlText w:val="•"/>
      <w:lvlJc w:val="left"/>
      <w:pPr>
        <w:tabs>
          <w:tab w:val="num" w:pos="5040"/>
        </w:tabs>
        <w:ind w:left="5040" w:hanging="360"/>
      </w:pPr>
      <w:rPr>
        <w:rFonts w:ascii="Arial" w:hAnsi="Arial" w:hint="default"/>
      </w:rPr>
    </w:lvl>
    <w:lvl w:ilvl="7" w:tplc="52C4AFC6" w:tentative="1">
      <w:start w:val="1"/>
      <w:numFmt w:val="bullet"/>
      <w:lvlText w:val="•"/>
      <w:lvlJc w:val="left"/>
      <w:pPr>
        <w:tabs>
          <w:tab w:val="num" w:pos="5760"/>
        </w:tabs>
        <w:ind w:left="5760" w:hanging="360"/>
      </w:pPr>
      <w:rPr>
        <w:rFonts w:ascii="Arial" w:hAnsi="Arial" w:hint="default"/>
      </w:rPr>
    </w:lvl>
    <w:lvl w:ilvl="8" w:tplc="DC30D34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7FC2769"/>
    <w:multiLevelType w:val="multilevel"/>
    <w:tmpl w:val="C70456E0"/>
    <w:lvl w:ilvl="0">
      <w:start w:val="1"/>
      <w:numFmt w:val="decimal"/>
      <w:pStyle w:val="Heading1"/>
      <w:lvlText w:val="Chapter %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1" w15:restartNumberingAfterBreak="0">
    <w:nsid w:val="29F12EC3"/>
    <w:multiLevelType w:val="multilevel"/>
    <w:tmpl w:val="BA96A474"/>
    <w:lvl w:ilvl="0">
      <w:start w:val="1"/>
      <w:numFmt w:val="decimal"/>
      <w:lvlText w:val="Chapter %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3."/>
      <w:lvlJc w:val="left"/>
      <w:pPr>
        <w:ind w:left="720" w:hanging="720"/>
      </w:pPr>
      <w:rPr>
        <w:rFonts w:asciiTheme="minorHAnsi" w:eastAsiaTheme="minorHAnsi" w:hAnsiTheme="minorHAnsi" w:cstheme="minorBidi"/>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2AD151C5"/>
    <w:multiLevelType w:val="multilevel"/>
    <w:tmpl w:val="C43A9876"/>
    <w:lvl w:ilvl="0">
      <w:start w:val="1"/>
      <w:numFmt w:val="bullet"/>
      <w:lvlText w:val=""/>
      <w:lvlJc w:val="left"/>
      <w:pPr>
        <w:tabs>
          <w:tab w:val="num" w:pos="2978"/>
        </w:tabs>
        <w:ind w:left="2978" w:hanging="425"/>
      </w:pPr>
      <w:rPr>
        <w:rFonts w:ascii="Wingdings" w:hAnsi="Wingdings" w:hint="default"/>
        <w:color w:val="003399"/>
        <w:sz w:val="24"/>
      </w:rPr>
    </w:lvl>
    <w:lvl w:ilvl="1">
      <w:start w:val="1"/>
      <w:numFmt w:val="bullet"/>
      <w:pStyle w:val="PECList2Bullet"/>
      <w:lvlText w:val=""/>
      <w:lvlJc w:val="left"/>
      <w:pPr>
        <w:tabs>
          <w:tab w:val="num" w:pos="851"/>
        </w:tabs>
        <w:ind w:left="851" w:hanging="426"/>
      </w:pPr>
      <w:rPr>
        <w:rFonts w:ascii="Symbol" w:hAnsi="Symbol" w:hint="default"/>
        <w:color w:val="003399"/>
        <w:sz w:val="22"/>
      </w:rPr>
    </w:lvl>
    <w:lvl w:ilvl="2">
      <w:start w:val="1"/>
      <w:numFmt w:val="bullet"/>
      <w:pStyle w:val="PECList3Bullet"/>
      <w:lvlText w:val=""/>
      <w:lvlJc w:val="left"/>
      <w:pPr>
        <w:tabs>
          <w:tab w:val="num" w:pos="1276"/>
        </w:tabs>
        <w:ind w:left="1276" w:hanging="425"/>
      </w:pPr>
      <w:rPr>
        <w:rFonts w:ascii="Symbol" w:hAnsi="Symbol" w:hint="default"/>
        <w:color w:val="003399"/>
        <w:sz w:val="22"/>
      </w:rPr>
    </w:lvl>
    <w:lvl w:ilvl="3">
      <w:start w:val="1"/>
      <w:numFmt w:val="none"/>
      <w:lvlText w:val="(%4)"/>
      <w:lvlJc w:val="left"/>
      <w:pPr>
        <w:tabs>
          <w:tab w:val="num" w:pos="1440"/>
        </w:tabs>
        <w:ind w:left="1440" w:hanging="360"/>
      </w:pPr>
      <w:rPr>
        <w:rFonts w:hint="default"/>
      </w:rPr>
    </w:lvl>
    <w:lvl w:ilvl="4">
      <w:start w:val="1"/>
      <w:numFmt w:val="none"/>
      <w:lvlText w:val="(%5)"/>
      <w:lvlJc w:val="left"/>
      <w:pPr>
        <w:tabs>
          <w:tab w:val="num" w:pos="1800"/>
        </w:tabs>
        <w:ind w:left="1800" w:hanging="360"/>
      </w:pPr>
      <w:rPr>
        <w:rFonts w:hint="default"/>
      </w:rPr>
    </w:lvl>
    <w:lvl w:ilvl="5">
      <w:start w:val="1"/>
      <w:numFmt w:val="none"/>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2C840CCB"/>
    <w:multiLevelType w:val="hybridMultilevel"/>
    <w:tmpl w:val="515CC79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12F16D8"/>
    <w:multiLevelType w:val="hybridMultilevel"/>
    <w:tmpl w:val="343419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4EB5281"/>
    <w:multiLevelType w:val="multilevel"/>
    <w:tmpl w:val="A6EE75F4"/>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ind w:left="1440" w:hanging="360"/>
      </w:pPr>
      <w:rPr>
        <w:rFonts w:cstheme="minorBid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164251A"/>
    <w:multiLevelType w:val="hybridMultilevel"/>
    <w:tmpl w:val="C964AB2A"/>
    <w:lvl w:ilvl="0" w:tplc="D8967B52">
      <w:start w:val="1"/>
      <w:numFmt w:val="bullet"/>
      <w:pStyle w:val="BulletPoint1"/>
      <w:lvlText w:val="-"/>
      <w:lvlJc w:val="left"/>
      <w:pPr>
        <w:ind w:left="720" w:hanging="36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3C50533"/>
    <w:multiLevelType w:val="hybridMultilevel"/>
    <w:tmpl w:val="E70A26E4"/>
    <w:lvl w:ilvl="0" w:tplc="E14CB298">
      <w:start w:val="7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54E6B89"/>
    <w:multiLevelType w:val="hybridMultilevel"/>
    <w:tmpl w:val="529485D8"/>
    <w:lvl w:ilvl="0" w:tplc="0FEC3E98">
      <w:start w:val="1"/>
      <w:numFmt w:val="bullet"/>
      <w:lvlText w:val="-"/>
      <w:lvlJc w:val="left"/>
      <w:pPr>
        <w:tabs>
          <w:tab w:val="num" w:pos="720"/>
        </w:tabs>
        <w:ind w:left="720" w:hanging="360"/>
      </w:pPr>
      <w:rPr>
        <w:rFonts w:ascii="Times New Roman" w:hAnsi="Times New Roman" w:hint="default"/>
      </w:rPr>
    </w:lvl>
    <w:lvl w:ilvl="1" w:tplc="C584D78E">
      <w:numFmt w:val="bullet"/>
      <w:lvlText w:val="-"/>
      <w:lvlJc w:val="left"/>
      <w:pPr>
        <w:tabs>
          <w:tab w:val="num" w:pos="1440"/>
        </w:tabs>
        <w:ind w:left="1440" w:hanging="360"/>
      </w:pPr>
      <w:rPr>
        <w:rFonts w:ascii="Times New Roman" w:hAnsi="Times New Roman" w:hint="default"/>
      </w:rPr>
    </w:lvl>
    <w:lvl w:ilvl="2" w:tplc="0BA65206" w:tentative="1">
      <w:start w:val="1"/>
      <w:numFmt w:val="bullet"/>
      <w:lvlText w:val="-"/>
      <w:lvlJc w:val="left"/>
      <w:pPr>
        <w:tabs>
          <w:tab w:val="num" w:pos="2160"/>
        </w:tabs>
        <w:ind w:left="2160" w:hanging="360"/>
      </w:pPr>
      <w:rPr>
        <w:rFonts w:ascii="Times New Roman" w:hAnsi="Times New Roman" w:hint="default"/>
      </w:rPr>
    </w:lvl>
    <w:lvl w:ilvl="3" w:tplc="27C63E46" w:tentative="1">
      <w:start w:val="1"/>
      <w:numFmt w:val="bullet"/>
      <w:lvlText w:val="-"/>
      <w:lvlJc w:val="left"/>
      <w:pPr>
        <w:tabs>
          <w:tab w:val="num" w:pos="2880"/>
        </w:tabs>
        <w:ind w:left="2880" w:hanging="360"/>
      </w:pPr>
      <w:rPr>
        <w:rFonts w:ascii="Times New Roman" w:hAnsi="Times New Roman" w:hint="default"/>
      </w:rPr>
    </w:lvl>
    <w:lvl w:ilvl="4" w:tplc="686EBBFC" w:tentative="1">
      <w:start w:val="1"/>
      <w:numFmt w:val="bullet"/>
      <w:lvlText w:val="-"/>
      <w:lvlJc w:val="left"/>
      <w:pPr>
        <w:tabs>
          <w:tab w:val="num" w:pos="3600"/>
        </w:tabs>
        <w:ind w:left="3600" w:hanging="360"/>
      </w:pPr>
      <w:rPr>
        <w:rFonts w:ascii="Times New Roman" w:hAnsi="Times New Roman" w:hint="default"/>
      </w:rPr>
    </w:lvl>
    <w:lvl w:ilvl="5" w:tplc="2A3ED11A" w:tentative="1">
      <w:start w:val="1"/>
      <w:numFmt w:val="bullet"/>
      <w:lvlText w:val="-"/>
      <w:lvlJc w:val="left"/>
      <w:pPr>
        <w:tabs>
          <w:tab w:val="num" w:pos="4320"/>
        </w:tabs>
        <w:ind w:left="4320" w:hanging="360"/>
      </w:pPr>
      <w:rPr>
        <w:rFonts w:ascii="Times New Roman" w:hAnsi="Times New Roman" w:hint="default"/>
      </w:rPr>
    </w:lvl>
    <w:lvl w:ilvl="6" w:tplc="7834C59E" w:tentative="1">
      <w:start w:val="1"/>
      <w:numFmt w:val="bullet"/>
      <w:lvlText w:val="-"/>
      <w:lvlJc w:val="left"/>
      <w:pPr>
        <w:tabs>
          <w:tab w:val="num" w:pos="5040"/>
        </w:tabs>
        <w:ind w:left="5040" w:hanging="360"/>
      </w:pPr>
      <w:rPr>
        <w:rFonts w:ascii="Times New Roman" w:hAnsi="Times New Roman" w:hint="default"/>
      </w:rPr>
    </w:lvl>
    <w:lvl w:ilvl="7" w:tplc="C5BA121A" w:tentative="1">
      <w:start w:val="1"/>
      <w:numFmt w:val="bullet"/>
      <w:lvlText w:val="-"/>
      <w:lvlJc w:val="left"/>
      <w:pPr>
        <w:tabs>
          <w:tab w:val="num" w:pos="5760"/>
        </w:tabs>
        <w:ind w:left="5760" w:hanging="360"/>
      </w:pPr>
      <w:rPr>
        <w:rFonts w:ascii="Times New Roman" w:hAnsi="Times New Roman" w:hint="default"/>
      </w:rPr>
    </w:lvl>
    <w:lvl w:ilvl="8" w:tplc="B0E27326"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56257FEF"/>
    <w:multiLevelType w:val="hybridMultilevel"/>
    <w:tmpl w:val="08FAACB6"/>
    <w:lvl w:ilvl="0" w:tplc="AA6677F8">
      <w:start w:val="205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6854A87"/>
    <w:multiLevelType w:val="hybridMultilevel"/>
    <w:tmpl w:val="AB14BD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B9E543B"/>
    <w:multiLevelType w:val="multilevel"/>
    <w:tmpl w:val="7A6E5918"/>
    <w:lvl w:ilvl="0">
      <w:start w:val="1"/>
      <w:numFmt w:val="decimal"/>
      <w:pStyle w:val="TOCHeading"/>
      <w:suff w:val="space"/>
      <w:lvlText w:val="Chapter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2" w15:restartNumberingAfterBreak="0">
    <w:nsid w:val="704E3AA2"/>
    <w:multiLevelType w:val="hybridMultilevel"/>
    <w:tmpl w:val="D66C7418"/>
    <w:lvl w:ilvl="0" w:tplc="A6A0FBC8">
      <w:start w:val="1"/>
      <w:numFmt w:val="decimal"/>
      <w:lvlText w:val="%1)"/>
      <w:lvlJc w:val="left"/>
      <w:pPr>
        <w:ind w:left="720" w:hanging="360"/>
      </w:pPr>
      <w:rPr>
        <w:rFonts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01015605">
    <w:abstractNumId w:val="12"/>
  </w:num>
  <w:num w:numId="2" w16cid:durableId="838545677">
    <w:abstractNumId w:val="16"/>
  </w:num>
  <w:num w:numId="3" w16cid:durableId="2089304521">
    <w:abstractNumId w:val="5"/>
  </w:num>
  <w:num w:numId="4" w16cid:durableId="420181359">
    <w:abstractNumId w:val="21"/>
  </w:num>
  <w:num w:numId="5" w16cid:durableId="1127817602">
    <w:abstractNumId w:val="0"/>
  </w:num>
  <w:num w:numId="6" w16cid:durableId="17610958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285572748">
    <w:abstractNumId w:val="1"/>
  </w:num>
  <w:num w:numId="8" w16cid:durableId="1243684594">
    <w:abstractNumId w:val="8"/>
  </w:num>
  <w:num w:numId="9" w16cid:durableId="1755710003">
    <w:abstractNumId w:val="20"/>
  </w:num>
  <w:num w:numId="10" w16cid:durableId="1880508158">
    <w:abstractNumId w:val="17"/>
  </w:num>
  <w:num w:numId="11" w16cid:durableId="1190683999">
    <w:abstractNumId w:val="7"/>
  </w:num>
  <w:num w:numId="12" w16cid:durableId="1265259477">
    <w:abstractNumId w:val="10"/>
  </w:num>
  <w:num w:numId="13" w16cid:durableId="179861708">
    <w:abstractNumId w:val="6"/>
  </w:num>
  <w:num w:numId="14" w16cid:durableId="1814523739">
    <w:abstractNumId w:val="15"/>
  </w:num>
  <w:num w:numId="15" w16cid:durableId="1383478771">
    <w:abstractNumId w:val="4"/>
  </w:num>
  <w:num w:numId="16" w16cid:durableId="662045965">
    <w:abstractNumId w:val="18"/>
  </w:num>
  <w:num w:numId="17" w16cid:durableId="244581498">
    <w:abstractNumId w:val="16"/>
  </w:num>
  <w:num w:numId="18" w16cid:durableId="477648754">
    <w:abstractNumId w:val="16"/>
  </w:num>
  <w:num w:numId="19" w16cid:durableId="1219243959">
    <w:abstractNumId w:val="9"/>
  </w:num>
  <w:num w:numId="20" w16cid:durableId="570431690">
    <w:abstractNumId w:val="19"/>
  </w:num>
  <w:num w:numId="21" w16cid:durableId="887691795">
    <w:abstractNumId w:val="2"/>
  </w:num>
  <w:num w:numId="22" w16cid:durableId="857233910">
    <w:abstractNumId w:val="13"/>
  </w:num>
  <w:num w:numId="23" w16cid:durableId="1302224749">
    <w:abstractNumId w:val="14"/>
  </w:num>
  <w:num w:numId="24" w16cid:durableId="1294671940">
    <w:abstractNumId w:val="3"/>
  </w:num>
  <w:num w:numId="25" w16cid:durableId="207692203">
    <w:abstractNumId w:val="2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jUxNDYzMLc0NTc1NTJR0lEKTi0uzszPAykwNLaoBQDs7OLhLgAAAA=="/>
  </w:docVars>
  <w:rsids>
    <w:rsidRoot w:val="001808C5"/>
    <w:rsid w:val="000003D8"/>
    <w:rsid w:val="00000428"/>
    <w:rsid w:val="0000113A"/>
    <w:rsid w:val="0000120A"/>
    <w:rsid w:val="00001860"/>
    <w:rsid w:val="00001CC0"/>
    <w:rsid w:val="00001D38"/>
    <w:rsid w:val="00002110"/>
    <w:rsid w:val="0000329F"/>
    <w:rsid w:val="00004490"/>
    <w:rsid w:val="0000470D"/>
    <w:rsid w:val="00004817"/>
    <w:rsid w:val="00005752"/>
    <w:rsid w:val="00005B40"/>
    <w:rsid w:val="00005C85"/>
    <w:rsid w:val="00005DC7"/>
    <w:rsid w:val="000062A4"/>
    <w:rsid w:val="0000661B"/>
    <w:rsid w:val="00006640"/>
    <w:rsid w:val="000069B4"/>
    <w:rsid w:val="00006C86"/>
    <w:rsid w:val="000079B0"/>
    <w:rsid w:val="0001005B"/>
    <w:rsid w:val="00010063"/>
    <w:rsid w:val="00011382"/>
    <w:rsid w:val="00011392"/>
    <w:rsid w:val="000120AA"/>
    <w:rsid w:val="0001232B"/>
    <w:rsid w:val="000124C1"/>
    <w:rsid w:val="00012DFD"/>
    <w:rsid w:val="000136AD"/>
    <w:rsid w:val="00014036"/>
    <w:rsid w:val="0001438B"/>
    <w:rsid w:val="00014B21"/>
    <w:rsid w:val="00014BCA"/>
    <w:rsid w:val="00015404"/>
    <w:rsid w:val="00015E41"/>
    <w:rsid w:val="00016354"/>
    <w:rsid w:val="00016CC1"/>
    <w:rsid w:val="00016FD8"/>
    <w:rsid w:val="0001747D"/>
    <w:rsid w:val="00017561"/>
    <w:rsid w:val="00017849"/>
    <w:rsid w:val="0001792A"/>
    <w:rsid w:val="00017BBB"/>
    <w:rsid w:val="00017FD6"/>
    <w:rsid w:val="0002038D"/>
    <w:rsid w:val="000205AF"/>
    <w:rsid w:val="000205F7"/>
    <w:rsid w:val="000221DC"/>
    <w:rsid w:val="0002248E"/>
    <w:rsid w:val="0002260C"/>
    <w:rsid w:val="000227E4"/>
    <w:rsid w:val="00022A20"/>
    <w:rsid w:val="00022B8B"/>
    <w:rsid w:val="00022BDB"/>
    <w:rsid w:val="00022C33"/>
    <w:rsid w:val="00022C9B"/>
    <w:rsid w:val="00023137"/>
    <w:rsid w:val="00023330"/>
    <w:rsid w:val="0002336D"/>
    <w:rsid w:val="00023B83"/>
    <w:rsid w:val="00023DF9"/>
    <w:rsid w:val="00024256"/>
    <w:rsid w:val="000246AB"/>
    <w:rsid w:val="00024A5D"/>
    <w:rsid w:val="00024C2E"/>
    <w:rsid w:val="000251CD"/>
    <w:rsid w:val="0002521C"/>
    <w:rsid w:val="00025D19"/>
    <w:rsid w:val="000260DC"/>
    <w:rsid w:val="00026115"/>
    <w:rsid w:val="00026AEB"/>
    <w:rsid w:val="00026BDF"/>
    <w:rsid w:val="00026CA0"/>
    <w:rsid w:val="00026E17"/>
    <w:rsid w:val="00026FE7"/>
    <w:rsid w:val="00027CC6"/>
    <w:rsid w:val="000309B1"/>
    <w:rsid w:val="00030EBF"/>
    <w:rsid w:val="000310EC"/>
    <w:rsid w:val="0003137C"/>
    <w:rsid w:val="00031421"/>
    <w:rsid w:val="0003170B"/>
    <w:rsid w:val="0003211D"/>
    <w:rsid w:val="0003218C"/>
    <w:rsid w:val="000324AE"/>
    <w:rsid w:val="00032734"/>
    <w:rsid w:val="00032D38"/>
    <w:rsid w:val="00032D54"/>
    <w:rsid w:val="00032F85"/>
    <w:rsid w:val="00032FF3"/>
    <w:rsid w:val="00033293"/>
    <w:rsid w:val="000333DC"/>
    <w:rsid w:val="00033476"/>
    <w:rsid w:val="00034047"/>
    <w:rsid w:val="0003425D"/>
    <w:rsid w:val="0003432D"/>
    <w:rsid w:val="00034EA1"/>
    <w:rsid w:val="00034F04"/>
    <w:rsid w:val="00035064"/>
    <w:rsid w:val="00035293"/>
    <w:rsid w:val="0003560C"/>
    <w:rsid w:val="00035F1A"/>
    <w:rsid w:val="0003664A"/>
    <w:rsid w:val="000369AC"/>
    <w:rsid w:val="000369F0"/>
    <w:rsid w:val="00036C0B"/>
    <w:rsid w:val="00036E58"/>
    <w:rsid w:val="000370F2"/>
    <w:rsid w:val="0003762B"/>
    <w:rsid w:val="00037861"/>
    <w:rsid w:val="00037BC4"/>
    <w:rsid w:val="00037C4C"/>
    <w:rsid w:val="00040020"/>
    <w:rsid w:val="00040970"/>
    <w:rsid w:val="00040C14"/>
    <w:rsid w:val="00040F82"/>
    <w:rsid w:val="000411A2"/>
    <w:rsid w:val="000411B6"/>
    <w:rsid w:val="0004163E"/>
    <w:rsid w:val="00041907"/>
    <w:rsid w:val="00041B08"/>
    <w:rsid w:val="00042981"/>
    <w:rsid w:val="00042AB9"/>
    <w:rsid w:val="00042E5B"/>
    <w:rsid w:val="00042EFF"/>
    <w:rsid w:val="00042F6C"/>
    <w:rsid w:val="00042FB5"/>
    <w:rsid w:val="000431D2"/>
    <w:rsid w:val="000438BF"/>
    <w:rsid w:val="00043FD4"/>
    <w:rsid w:val="00044E54"/>
    <w:rsid w:val="00045316"/>
    <w:rsid w:val="000454C6"/>
    <w:rsid w:val="0004639B"/>
    <w:rsid w:val="0004671D"/>
    <w:rsid w:val="00046AE4"/>
    <w:rsid w:val="00047559"/>
    <w:rsid w:val="000476A5"/>
    <w:rsid w:val="000476EF"/>
    <w:rsid w:val="00047AB4"/>
    <w:rsid w:val="00047C3E"/>
    <w:rsid w:val="00050181"/>
    <w:rsid w:val="0005034B"/>
    <w:rsid w:val="00050404"/>
    <w:rsid w:val="0005053A"/>
    <w:rsid w:val="000509AC"/>
    <w:rsid w:val="00050B01"/>
    <w:rsid w:val="00050DC8"/>
    <w:rsid w:val="00050F71"/>
    <w:rsid w:val="00050FA6"/>
    <w:rsid w:val="000511C0"/>
    <w:rsid w:val="000511CE"/>
    <w:rsid w:val="000511FA"/>
    <w:rsid w:val="0005121B"/>
    <w:rsid w:val="000514AB"/>
    <w:rsid w:val="000517B0"/>
    <w:rsid w:val="00051E6B"/>
    <w:rsid w:val="00051FFF"/>
    <w:rsid w:val="000528B1"/>
    <w:rsid w:val="00052EB7"/>
    <w:rsid w:val="00053219"/>
    <w:rsid w:val="00053A2D"/>
    <w:rsid w:val="00053BF7"/>
    <w:rsid w:val="00054575"/>
    <w:rsid w:val="0005487A"/>
    <w:rsid w:val="00054892"/>
    <w:rsid w:val="00054A9A"/>
    <w:rsid w:val="0005518B"/>
    <w:rsid w:val="00055293"/>
    <w:rsid w:val="000559D1"/>
    <w:rsid w:val="00056046"/>
    <w:rsid w:val="0005673C"/>
    <w:rsid w:val="00056ED4"/>
    <w:rsid w:val="00057423"/>
    <w:rsid w:val="00057461"/>
    <w:rsid w:val="00057553"/>
    <w:rsid w:val="00057B88"/>
    <w:rsid w:val="000607E4"/>
    <w:rsid w:val="00060D87"/>
    <w:rsid w:val="000610A3"/>
    <w:rsid w:val="00061239"/>
    <w:rsid w:val="00061616"/>
    <w:rsid w:val="00061A5D"/>
    <w:rsid w:val="00061DA8"/>
    <w:rsid w:val="0006244C"/>
    <w:rsid w:val="000624DF"/>
    <w:rsid w:val="000627C4"/>
    <w:rsid w:val="00062BC2"/>
    <w:rsid w:val="000639CF"/>
    <w:rsid w:val="00063ACF"/>
    <w:rsid w:val="00064542"/>
    <w:rsid w:val="00064B2E"/>
    <w:rsid w:val="00064CDA"/>
    <w:rsid w:val="00064D42"/>
    <w:rsid w:val="0006502E"/>
    <w:rsid w:val="00065E40"/>
    <w:rsid w:val="00066128"/>
    <w:rsid w:val="000661E6"/>
    <w:rsid w:val="00066236"/>
    <w:rsid w:val="00066395"/>
    <w:rsid w:val="000666CB"/>
    <w:rsid w:val="0006700F"/>
    <w:rsid w:val="000676C6"/>
    <w:rsid w:val="00067F97"/>
    <w:rsid w:val="000707BF"/>
    <w:rsid w:val="00070D53"/>
    <w:rsid w:val="0007132B"/>
    <w:rsid w:val="00071F03"/>
    <w:rsid w:val="00071F21"/>
    <w:rsid w:val="00072007"/>
    <w:rsid w:val="000722EE"/>
    <w:rsid w:val="000727E8"/>
    <w:rsid w:val="000728BC"/>
    <w:rsid w:val="000728CB"/>
    <w:rsid w:val="00072AB4"/>
    <w:rsid w:val="00072F01"/>
    <w:rsid w:val="00073876"/>
    <w:rsid w:val="00073A2A"/>
    <w:rsid w:val="0007436A"/>
    <w:rsid w:val="000748A7"/>
    <w:rsid w:val="000753E2"/>
    <w:rsid w:val="00075571"/>
    <w:rsid w:val="00075E93"/>
    <w:rsid w:val="000765EF"/>
    <w:rsid w:val="000771CC"/>
    <w:rsid w:val="0007767B"/>
    <w:rsid w:val="00080252"/>
    <w:rsid w:val="0008029C"/>
    <w:rsid w:val="000803DB"/>
    <w:rsid w:val="000805B8"/>
    <w:rsid w:val="00080B55"/>
    <w:rsid w:val="00080C1D"/>
    <w:rsid w:val="00080CB6"/>
    <w:rsid w:val="00081398"/>
    <w:rsid w:val="00081863"/>
    <w:rsid w:val="0008215E"/>
    <w:rsid w:val="00082433"/>
    <w:rsid w:val="00082AEA"/>
    <w:rsid w:val="00082F15"/>
    <w:rsid w:val="00083D7C"/>
    <w:rsid w:val="00084D84"/>
    <w:rsid w:val="000853DB"/>
    <w:rsid w:val="000854E3"/>
    <w:rsid w:val="00085C3F"/>
    <w:rsid w:val="00085D06"/>
    <w:rsid w:val="00085E7D"/>
    <w:rsid w:val="000863E9"/>
    <w:rsid w:val="00086BD9"/>
    <w:rsid w:val="00086C96"/>
    <w:rsid w:val="00086E0D"/>
    <w:rsid w:val="00087900"/>
    <w:rsid w:val="00087CC0"/>
    <w:rsid w:val="000905F0"/>
    <w:rsid w:val="00090E8D"/>
    <w:rsid w:val="000923C0"/>
    <w:rsid w:val="00092403"/>
    <w:rsid w:val="000925B2"/>
    <w:rsid w:val="00092674"/>
    <w:rsid w:val="0009270C"/>
    <w:rsid w:val="00092803"/>
    <w:rsid w:val="00092FC8"/>
    <w:rsid w:val="00092FC9"/>
    <w:rsid w:val="0009315F"/>
    <w:rsid w:val="00093D66"/>
    <w:rsid w:val="00093F95"/>
    <w:rsid w:val="00093FB5"/>
    <w:rsid w:val="00094669"/>
    <w:rsid w:val="00094781"/>
    <w:rsid w:val="000947CE"/>
    <w:rsid w:val="00094CD6"/>
    <w:rsid w:val="00094D2F"/>
    <w:rsid w:val="00095316"/>
    <w:rsid w:val="0009594D"/>
    <w:rsid w:val="00095F9E"/>
    <w:rsid w:val="00096315"/>
    <w:rsid w:val="00096438"/>
    <w:rsid w:val="00096760"/>
    <w:rsid w:val="00096948"/>
    <w:rsid w:val="00096F0F"/>
    <w:rsid w:val="0009760C"/>
    <w:rsid w:val="00097A32"/>
    <w:rsid w:val="00097FAA"/>
    <w:rsid w:val="000A022C"/>
    <w:rsid w:val="000A04F9"/>
    <w:rsid w:val="000A0A43"/>
    <w:rsid w:val="000A16A7"/>
    <w:rsid w:val="000A23F2"/>
    <w:rsid w:val="000A242C"/>
    <w:rsid w:val="000A28EC"/>
    <w:rsid w:val="000A2D5F"/>
    <w:rsid w:val="000A302F"/>
    <w:rsid w:val="000A32C7"/>
    <w:rsid w:val="000A3703"/>
    <w:rsid w:val="000A37E3"/>
    <w:rsid w:val="000A3897"/>
    <w:rsid w:val="000A39A5"/>
    <w:rsid w:val="000A445E"/>
    <w:rsid w:val="000A463D"/>
    <w:rsid w:val="000A51D0"/>
    <w:rsid w:val="000A541B"/>
    <w:rsid w:val="000A55C5"/>
    <w:rsid w:val="000A567C"/>
    <w:rsid w:val="000A59A5"/>
    <w:rsid w:val="000A747C"/>
    <w:rsid w:val="000A7730"/>
    <w:rsid w:val="000A79DA"/>
    <w:rsid w:val="000A7DAB"/>
    <w:rsid w:val="000A7F3A"/>
    <w:rsid w:val="000B0BD7"/>
    <w:rsid w:val="000B112E"/>
    <w:rsid w:val="000B1622"/>
    <w:rsid w:val="000B1870"/>
    <w:rsid w:val="000B1C93"/>
    <w:rsid w:val="000B2580"/>
    <w:rsid w:val="000B270A"/>
    <w:rsid w:val="000B2E44"/>
    <w:rsid w:val="000B3787"/>
    <w:rsid w:val="000B388B"/>
    <w:rsid w:val="000B3E7D"/>
    <w:rsid w:val="000B3F76"/>
    <w:rsid w:val="000B4602"/>
    <w:rsid w:val="000B4647"/>
    <w:rsid w:val="000B475D"/>
    <w:rsid w:val="000B4A85"/>
    <w:rsid w:val="000B4B9B"/>
    <w:rsid w:val="000B53ED"/>
    <w:rsid w:val="000B5671"/>
    <w:rsid w:val="000B5C8A"/>
    <w:rsid w:val="000B5DA1"/>
    <w:rsid w:val="000B5E9C"/>
    <w:rsid w:val="000B5FB5"/>
    <w:rsid w:val="000B6451"/>
    <w:rsid w:val="000B6900"/>
    <w:rsid w:val="000B6A76"/>
    <w:rsid w:val="000B6EF3"/>
    <w:rsid w:val="000B6F46"/>
    <w:rsid w:val="000B7092"/>
    <w:rsid w:val="000B7713"/>
    <w:rsid w:val="000B7772"/>
    <w:rsid w:val="000B7782"/>
    <w:rsid w:val="000B796D"/>
    <w:rsid w:val="000C05B2"/>
    <w:rsid w:val="000C05D7"/>
    <w:rsid w:val="000C0942"/>
    <w:rsid w:val="000C0D1C"/>
    <w:rsid w:val="000C0E43"/>
    <w:rsid w:val="000C1119"/>
    <w:rsid w:val="000C1336"/>
    <w:rsid w:val="000C20D3"/>
    <w:rsid w:val="000C215D"/>
    <w:rsid w:val="000C2330"/>
    <w:rsid w:val="000C26FF"/>
    <w:rsid w:val="000C2D1D"/>
    <w:rsid w:val="000C2ED5"/>
    <w:rsid w:val="000C2EF3"/>
    <w:rsid w:val="000C3517"/>
    <w:rsid w:val="000C3634"/>
    <w:rsid w:val="000C3793"/>
    <w:rsid w:val="000C407F"/>
    <w:rsid w:val="000C41BC"/>
    <w:rsid w:val="000C41E2"/>
    <w:rsid w:val="000C46A3"/>
    <w:rsid w:val="000C552C"/>
    <w:rsid w:val="000C55BE"/>
    <w:rsid w:val="000C6BEA"/>
    <w:rsid w:val="000C76AF"/>
    <w:rsid w:val="000D026A"/>
    <w:rsid w:val="000D08E7"/>
    <w:rsid w:val="000D0A54"/>
    <w:rsid w:val="000D130C"/>
    <w:rsid w:val="000D1610"/>
    <w:rsid w:val="000D16EB"/>
    <w:rsid w:val="000D1B87"/>
    <w:rsid w:val="000D20AD"/>
    <w:rsid w:val="000D231D"/>
    <w:rsid w:val="000D25EB"/>
    <w:rsid w:val="000D2673"/>
    <w:rsid w:val="000D2E07"/>
    <w:rsid w:val="000D31F7"/>
    <w:rsid w:val="000D3A74"/>
    <w:rsid w:val="000D42A3"/>
    <w:rsid w:val="000D4822"/>
    <w:rsid w:val="000D4B3F"/>
    <w:rsid w:val="000D4F42"/>
    <w:rsid w:val="000D66BC"/>
    <w:rsid w:val="000D66C9"/>
    <w:rsid w:val="000D6E79"/>
    <w:rsid w:val="000D744E"/>
    <w:rsid w:val="000D7EBB"/>
    <w:rsid w:val="000D7F58"/>
    <w:rsid w:val="000E0382"/>
    <w:rsid w:val="000E06F7"/>
    <w:rsid w:val="000E09B5"/>
    <w:rsid w:val="000E1212"/>
    <w:rsid w:val="000E14FB"/>
    <w:rsid w:val="000E16BD"/>
    <w:rsid w:val="000E184F"/>
    <w:rsid w:val="000E2693"/>
    <w:rsid w:val="000E28FE"/>
    <w:rsid w:val="000E29C3"/>
    <w:rsid w:val="000E2B51"/>
    <w:rsid w:val="000E2C11"/>
    <w:rsid w:val="000E2CAB"/>
    <w:rsid w:val="000E2E08"/>
    <w:rsid w:val="000E2F23"/>
    <w:rsid w:val="000E3069"/>
    <w:rsid w:val="000E342E"/>
    <w:rsid w:val="000E3611"/>
    <w:rsid w:val="000E3E0D"/>
    <w:rsid w:val="000E4B51"/>
    <w:rsid w:val="000E518D"/>
    <w:rsid w:val="000E5233"/>
    <w:rsid w:val="000E5B04"/>
    <w:rsid w:val="000E5C4A"/>
    <w:rsid w:val="000E5E40"/>
    <w:rsid w:val="000E5F23"/>
    <w:rsid w:val="000E6518"/>
    <w:rsid w:val="000E65BA"/>
    <w:rsid w:val="000E6E21"/>
    <w:rsid w:val="000E7283"/>
    <w:rsid w:val="000E7552"/>
    <w:rsid w:val="000E7C8D"/>
    <w:rsid w:val="000E7D06"/>
    <w:rsid w:val="000F017B"/>
    <w:rsid w:val="000F0DB8"/>
    <w:rsid w:val="000F0ED5"/>
    <w:rsid w:val="000F0FB9"/>
    <w:rsid w:val="000F0FBC"/>
    <w:rsid w:val="000F1497"/>
    <w:rsid w:val="000F14CA"/>
    <w:rsid w:val="000F178B"/>
    <w:rsid w:val="000F1959"/>
    <w:rsid w:val="000F20CD"/>
    <w:rsid w:val="000F266A"/>
    <w:rsid w:val="000F2B58"/>
    <w:rsid w:val="000F3264"/>
    <w:rsid w:val="000F3760"/>
    <w:rsid w:val="000F3905"/>
    <w:rsid w:val="000F40D1"/>
    <w:rsid w:val="000F422D"/>
    <w:rsid w:val="000F51F7"/>
    <w:rsid w:val="000F53C9"/>
    <w:rsid w:val="000F55C7"/>
    <w:rsid w:val="000F55F6"/>
    <w:rsid w:val="000F61F0"/>
    <w:rsid w:val="000F62D0"/>
    <w:rsid w:val="000F646C"/>
    <w:rsid w:val="000F6BA4"/>
    <w:rsid w:val="000F6CC1"/>
    <w:rsid w:val="000F7103"/>
    <w:rsid w:val="000F74AD"/>
    <w:rsid w:val="000F786A"/>
    <w:rsid w:val="000F7D19"/>
    <w:rsid w:val="000F7EC4"/>
    <w:rsid w:val="0010015B"/>
    <w:rsid w:val="001001C9"/>
    <w:rsid w:val="001002F2"/>
    <w:rsid w:val="0010042C"/>
    <w:rsid w:val="0010064D"/>
    <w:rsid w:val="00100F8E"/>
    <w:rsid w:val="00101335"/>
    <w:rsid w:val="00101942"/>
    <w:rsid w:val="00101D16"/>
    <w:rsid w:val="001020CF"/>
    <w:rsid w:val="00102837"/>
    <w:rsid w:val="00102C94"/>
    <w:rsid w:val="00102EC6"/>
    <w:rsid w:val="00102FDE"/>
    <w:rsid w:val="001031E2"/>
    <w:rsid w:val="00104D12"/>
    <w:rsid w:val="00104F27"/>
    <w:rsid w:val="00104F91"/>
    <w:rsid w:val="0010513E"/>
    <w:rsid w:val="00105CE5"/>
    <w:rsid w:val="0010635D"/>
    <w:rsid w:val="001068F1"/>
    <w:rsid w:val="00106AB6"/>
    <w:rsid w:val="00106AC6"/>
    <w:rsid w:val="00106BDE"/>
    <w:rsid w:val="00107079"/>
    <w:rsid w:val="00107115"/>
    <w:rsid w:val="0010745F"/>
    <w:rsid w:val="001076CC"/>
    <w:rsid w:val="001078C0"/>
    <w:rsid w:val="00110262"/>
    <w:rsid w:val="001106BD"/>
    <w:rsid w:val="00110963"/>
    <w:rsid w:val="00110AC2"/>
    <w:rsid w:val="00111359"/>
    <w:rsid w:val="001119FD"/>
    <w:rsid w:val="00111A3E"/>
    <w:rsid w:val="00111B44"/>
    <w:rsid w:val="00111B72"/>
    <w:rsid w:val="00111D41"/>
    <w:rsid w:val="00111D68"/>
    <w:rsid w:val="001124E1"/>
    <w:rsid w:val="0011284A"/>
    <w:rsid w:val="00112C50"/>
    <w:rsid w:val="00113205"/>
    <w:rsid w:val="001136C7"/>
    <w:rsid w:val="001138A5"/>
    <w:rsid w:val="001143CC"/>
    <w:rsid w:val="0011460C"/>
    <w:rsid w:val="0011483F"/>
    <w:rsid w:val="00115033"/>
    <w:rsid w:val="00115518"/>
    <w:rsid w:val="00115D2E"/>
    <w:rsid w:val="00115FB3"/>
    <w:rsid w:val="001162F1"/>
    <w:rsid w:val="00116531"/>
    <w:rsid w:val="00116CFE"/>
    <w:rsid w:val="00116DA9"/>
    <w:rsid w:val="00117949"/>
    <w:rsid w:val="00117A68"/>
    <w:rsid w:val="00120387"/>
    <w:rsid w:val="001206E4"/>
    <w:rsid w:val="00120B84"/>
    <w:rsid w:val="00120ECD"/>
    <w:rsid w:val="0012128C"/>
    <w:rsid w:val="001221D9"/>
    <w:rsid w:val="00122863"/>
    <w:rsid w:val="001231C5"/>
    <w:rsid w:val="001234C7"/>
    <w:rsid w:val="00123B2E"/>
    <w:rsid w:val="00123E97"/>
    <w:rsid w:val="00123F3C"/>
    <w:rsid w:val="001240D2"/>
    <w:rsid w:val="0012412A"/>
    <w:rsid w:val="001241A1"/>
    <w:rsid w:val="001242DE"/>
    <w:rsid w:val="00124943"/>
    <w:rsid w:val="00124BFB"/>
    <w:rsid w:val="00124C60"/>
    <w:rsid w:val="001256CF"/>
    <w:rsid w:val="00125A46"/>
    <w:rsid w:val="00125D52"/>
    <w:rsid w:val="00126632"/>
    <w:rsid w:val="00126867"/>
    <w:rsid w:val="00127075"/>
    <w:rsid w:val="00127196"/>
    <w:rsid w:val="001274EF"/>
    <w:rsid w:val="00131069"/>
    <w:rsid w:val="0013173E"/>
    <w:rsid w:val="0013179D"/>
    <w:rsid w:val="00131D1B"/>
    <w:rsid w:val="00131D76"/>
    <w:rsid w:val="001321E8"/>
    <w:rsid w:val="0013228E"/>
    <w:rsid w:val="001328A5"/>
    <w:rsid w:val="00132CEF"/>
    <w:rsid w:val="00132F32"/>
    <w:rsid w:val="001332AD"/>
    <w:rsid w:val="00133535"/>
    <w:rsid w:val="00133771"/>
    <w:rsid w:val="00133D0A"/>
    <w:rsid w:val="00133E77"/>
    <w:rsid w:val="001345A4"/>
    <w:rsid w:val="001345BF"/>
    <w:rsid w:val="00134707"/>
    <w:rsid w:val="00134B50"/>
    <w:rsid w:val="00134BE5"/>
    <w:rsid w:val="00134C5C"/>
    <w:rsid w:val="0013501F"/>
    <w:rsid w:val="001357AC"/>
    <w:rsid w:val="00136139"/>
    <w:rsid w:val="00136154"/>
    <w:rsid w:val="001364AB"/>
    <w:rsid w:val="001368FB"/>
    <w:rsid w:val="0013691F"/>
    <w:rsid w:val="0013694F"/>
    <w:rsid w:val="001370B5"/>
    <w:rsid w:val="00137789"/>
    <w:rsid w:val="001378F7"/>
    <w:rsid w:val="00137C13"/>
    <w:rsid w:val="00137DE0"/>
    <w:rsid w:val="0014004B"/>
    <w:rsid w:val="0014038E"/>
    <w:rsid w:val="00140D97"/>
    <w:rsid w:val="0014105A"/>
    <w:rsid w:val="001414B9"/>
    <w:rsid w:val="0014152A"/>
    <w:rsid w:val="00141609"/>
    <w:rsid w:val="0014209A"/>
    <w:rsid w:val="00142A22"/>
    <w:rsid w:val="00142F4E"/>
    <w:rsid w:val="0014337A"/>
    <w:rsid w:val="00143998"/>
    <w:rsid w:val="00143EEF"/>
    <w:rsid w:val="001441AD"/>
    <w:rsid w:val="00144255"/>
    <w:rsid w:val="00144722"/>
    <w:rsid w:val="001447EC"/>
    <w:rsid w:val="00145541"/>
    <w:rsid w:val="00145632"/>
    <w:rsid w:val="00145818"/>
    <w:rsid w:val="00145C28"/>
    <w:rsid w:val="00145C8B"/>
    <w:rsid w:val="00146208"/>
    <w:rsid w:val="00146389"/>
    <w:rsid w:val="00146608"/>
    <w:rsid w:val="00146805"/>
    <w:rsid w:val="00146BA7"/>
    <w:rsid w:val="001478BB"/>
    <w:rsid w:val="0014798E"/>
    <w:rsid w:val="0015075B"/>
    <w:rsid w:val="001508C4"/>
    <w:rsid w:val="001509F5"/>
    <w:rsid w:val="00150C35"/>
    <w:rsid w:val="00150D03"/>
    <w:rsid w:val="00150DA6"/>
    <w:rsid w:val="00151144"/>
    <w:rsid w:val="00151392"/>
    <w:rsid w:val="00151876"/>
    <w:rsid w:val="00151C7F"/>
    <w:rsid w:val="00152003"/>
    <w:rsid w:val="00152652"/>
    <w:rsid w:val="00152AA1"/>
    <w:rsid w:val="00152CF4"/>
    <w:rsid w:val="00153003"/>
    <w:rsid w:val="001536AC"/>
    <w:rsid w:val="00153857"/>
    <w:rsid w:val="0015394C"/>
    <w:rsid w:val="00153F97"/>
    <w:rsid w:val="00154287"/>
    <w:rsid w:val="001544EE"/>
    <w:rsid w:val="00154B5B"/>
    <w:rsid w:val="001551C3"/>
    <w:rsid w:val="0015540A"/>
    <w:rsid w:val="00155AE3"/>
    <w:rsid w:val="00155CA1"/>
    <w:rsid w:val="00156554"/>
    <w:rsid w:val="00157906"/>
    <w:rsid w:val="00157BEF"/>
    <w:rsid w:val="00157C75"/>
    <w:rsid w:val="00157EB5"/>
    <w:rsid w:val="0016032A"/>
    <w:rsid w:val="00160451"/>
    <w:rsid w:val="00160987"/>
    <w:rsid w:val="00160E78"/>
    <w:rsid w:val="0016144B"/>
    <w:rsid w:val="00162011"/>
    <w:rsid w:val="001623CE"/>
    <w:rsid w:val="00162475"/>
    <w:rsid w:val="001627C0"/>
    <w:rsid w:val="00162B4D"/>
    <w:rsid w:val="001632F8"/>
    <w:rsid w:val="0016334D"/>
    <w:rsid w:val="00163EE9"/>
    <w:rsid w:val="00164395"/>
    <w:rsid w:val="0016546C"/>
    <w:rsid w:val="00165503"/>
    <w:rsid w:val="00165639"/>
    <w:rsid w:val="0016580A"/>
    <w:rsid w:val="001659D9"/>
    <w:rsid w:val="0016605F"/>
    <w:rsid w:val="001662EF"/>
    <w:rsid w:val="001663A1"/>
    <w:rsid w:val="00167016"/>
    <w:rsid w:val="00167EE0"/>
    <w:rsid w:val="001701A1"/>
    <w:rsid w:val="0017045E"/>
    <w:rsid w:val="00170C4B"/>
    <w:rsid w:val="00170F2A"/>
    <w:rsid w:val="00171180"/>
    <w:rsid w:val="001711C8"/>
    <w:rsid w:val="001716A7"/>
    <w:rsid w:val="001717DB"/>
    <w:rsid w:val="00171C47"/>
    <w:rsid w:val="00171FA4"/>
    <w:rsid w:val="0017200D"/>
    <w:rsid w:val="0017212F"/>
    <w:rsid w:val="00172582"/>
    <w:rsid w:val="00172C6A"/>
    <w:rsid w:val="00173DD4"/>
    <w:rsid w:val="00174705"/>
    <w:rsid w:val="0017483F"/>
    <w:rsid w:val="00174ACC"/>
    <w:rsid w:val="00174C01"/>
    <w:rsid w:val="00176064"/>
    <w:rsid w:val="00176116"/>
    <w:rsid w:val="00176706"/>
    <w:rsid w:val="0017725F"/>
    <w:rsid w:val="00177903"/>
    <w:rsid w:val="00177A42"/>
    <w:rsid w:val="00177B21"/>
    <w:rsid w:val="00177B5C"/>
    <w:rsid w:val="00180488"/>
    <w:rsid w:val="001808C5"/>
    <w:rsid w:val="00180CC7"/>
    <w:rsid w:val="00181BD7"/>
    <w:rsid w:val="00181E6A"/>
    <w:rsid w:val="00182421"/>
    <w:rsid w:val="0018249E"/>
    <w:rsid w:val="001824D0"/>
    <w:rsid w:val="00182696"/>
    <w:rsid w:val="00182879"/>
    <w:rsid w:val="0018289B"/>
    <w:rsid w:val="00183894"/>
    <w:rsid w:val="00183C34"/>
    <w:rsid w:val="00184141"/>
    <w:rsid w:val="0018449F"/>
    <w:rsid w:val="00184B3F"/>
    <w:rsid w:val="00184D1D"/>
    <w:rsid w:val="00185280"/>
    <w:rsid w:val="0018537A"/>
    <w:rsid w:val="0018547C"/>
    <w:rsid w:val="00185807"/>
    <w:rsid w:val="001859E9"/>
    <w:rsid w:val="001868F3"/>
    <w:rsid w:val="00186E2E"/>
    <w:rsid w:val="00186E41"/>
    <w:rsid w:val="00186F0C"/>
    <w:rsid w:val="00187189"/>
    <w:rsid w:val="00187420"/>
    <w:rsid w:val="001875D5"/>
    <w:rsid w:val="0019013F"/>
    <w:rsid w:val="00190971"/>
    <w:rsid w:val="00191304"/>
    <w:rsid w:val="001913F6"/>
    <w:rsid w:val="00191933"/>
    <w:rsid w:val="001919A7"/>
    <w:rsid w:val="00191D06"/>
    <w:rsid w:val="00191E14"/>
    <w:rsid w:val="00191F7C"/>
    <w:rsid w:val="00191FAB"/>
    <w:rsid w:val="001923D7"/>
    <w:rsid w:val="001925EC"/>
    <w:rsid w:val="00192A62"/>
    <w:rsid w:val="00193133"/>
    <w:rsid w:val="00193354"/>
    <w:rsid w:val="0019372B"/>
    <w:rsid w:val="00193742"/>
    <w:rsid w:val="001937B1"/>
    <w:rsid w:val="00194B1B"/>
    <w:rsid w:val="0019539B"/>
    <w:rsid w:val="001956EE"/>
    <w:rsid w:val="00195B96"/>
    <w:rsid w:val="00195CE3"/>
    <w:rsid w:val="00195D2C"/>
    <w:rsid w:val="00195E24"/>
    <w:rsid w:val="00196081"/>
    <w:rsid w:val="00196653"/>
    <w:rsid w:val="00196B13"/>
    <w:rsid w:val="001979E3"/>
    <w:rsid w:val="00197D02"/>
    <w:rsid w:val="00197FC7"/>
    <w:rsid w:val="001A038A"/>
    <w:rsid w:val="001A1445"/>
    <w:rsid w:val="001A1FBB"/>
    <w:rsid w:val="001A1FD4"/>
    <w:rsid w:val="001A36B3"/>
    <w:rsid w:val="001A3937"/>
    <w:rsid w:val="001A3964"/>
    <w:rsid w:val="001A39D3"/>
    <w:rsid w:val="001A3DBA"/>
    <w:rsid w:val="001A4437"/>
    <w:rsid w:val="001A4456"/>
    <w:rsid w:val="001A448E"/>
    <w:rsid w:val="001A4516"/>
    <w:rsid w:val="001A4672"/>
    <w:rsid w:val="001A46FD"/>
    <w:rsid w:val="001A4BD3"/>
    <w:rsid w:val="001A4D0F"/>
    <w:rsid w:val="001A4F54"/>
    <w:rsid w:val="001A59A2"/>
    <w:rsid w:val="001A5B9A"/>
    <w:rsid w:val="001A5BF1"/>
    <w:rsid w:val="001A676E"/>
    <w:rsid w:val="001A6AF9"/>
    <w:rsid w:val="001A76E9"/>
    <w:rsid w:val="001A7838"/>
    <w:rsid w:val="001B051E"/>
    <w:rsid w:val="001B0825"/>
    <w:rsid w:val="001B0A02"/>
    <w:rsid w:val="001B0E64"/>
    <w:rsid w:val="001B1A78"/>
    <w:rsid w:val="001B1C09"/>
    <w:rsid w:val="001B275A"/>
    <w:rsid w:val="001B2B21"/>
    <w:rsid w:val="001B2D30"/>
    <w:rsid w:val="001B2E87"/>
    <w:rsid w:val="001B2EF0"/>
    <w:rsid w:val="001B3128"/>
    <w:rsid w:val="001B34E3"/>
    <w:rsid w:val="001B35DC"/>
    <w:rsid w:val="001B38A6"/>
    <w:rsid w:val="001B3BF8"/>
    <w:rsid w:val="001B3EB9"/>
    <w:rsid w:val="001B3EED"/>
    <w:rsid w:val="001B4069"/>
    <w:rsid w:val="001B47E1"/>
    <w:rsid w:val="001B4E98"/>
    <w:rsid w:val="001B4F65"/>
    <w:rsid w:val="001B5101"/>
    <w:rsid w:val="001B5181"/>
    <w:rsid w:val="001B59A6"/>
    <w:rsid w:val="001B5A5E"/>
    <w:rsid w:val="001B5D9C"/>
    <w:rsid w:val="001B6231"/>
    <w:rsid w:val="001B65E5"/>
    <w:rsid w:val="001B6EC9"/>
    <w:rsid w:val="001B715C"/>
    <w:rsid w:val="001B7364"/>
    <w:rsid w:val="001B7CC7"/>
    <w:rsid w:val="001B7E60"/>
    <w:rsid w:val="001C0D22"/>
    <w:rsid w:val="001C0EAC"/>
    <w:rsid w:val="001C1174"/>
    <w:rsid w:val="001C12A2"/>
    <w:rsid w:val="001C1648"/>
    <w:rsid w:val="001C1927"/>
    <w:rsid w:val="001C1C66"/>
    <w:rsid w:val="001C20DE"/>
    <w:rsid w:val="001C2133"/>
    <w:rsid w:val="001C217C"/>
    <w:rsid w:val="001C21AB"/>
    <w:rsid w:val="001C21BF"/>
    <w:rsid w:val="001C247F"/>
    <w:rsid w:val="001C2B76"/>
    <w:rsid w:val="001C2E9D"/>
    <w:rsid w:val="001C2EB9"/>
    <w:rsid w:val="001C2F95"/>
    <w:rsid w:val="001C34F7"/>
    <w:rsid w:val="001C3B93"/>
    <w:rsid w:val="001C3BA0"/>
    <w:rsid w:val="001C43A3"/>
    <w:rsid w:val="001C4F22"/>
    <w:rsid w:val="001C53E9"/>
    <w:rsid w:val="001C5E3A"/>
    <w:rsid w:val="001C6D45"/>
    <w:rsid w:val="001C6E02"/>
    <w:rsid w:val="001C6E23"/>
    <w:rsid w:val="001C7B14"/>
    <w:rsid w:val="001C7D34"/>
    <w:rsid w:val="001D0045"/>
    <w:rsid w:val="001D050C"/>
    <w:rsid w:val="001D0650"/>
    <w:rsid w:val="001D0A13"/>
    <w:rsid w:val="001D0ACE"/>
    <w:rsid w:val="001D14AF"/>
    <w:rsid w:val="001D1529"/>
    <w:rsid w:val="001D17A6"/>
    <w:rsid w:val="001D1B0B"/>
    <w:rsid w:val="001D1C00"/>
    <w:rsid w:val="001D1D52"/>
    <w:rsid w:val="001D2015"/>
    <w:rsid w:val="001D23FC"/>
    <w:rsid w:val="001D27AA"/>
    <w:rsid w:val="001D2ACE"/>
    <w:rsid w:val="001D2B42"/>
    <w:rsid w:val="001D3299"/>
    <w:rsid w:val="001D3896"/>
    <w:rsid w:val="001D3F75"/>
    <w:rsid w:val="001D4604"/>
    <w:rsid w:val="001D50B2"/>
    <w:rsid w:val="001D50BD"/>
    <w:rsid w:val="001D5439"/>
    <w:rsid w:val="001D55F3"/>
    <w:rsid w:val="001D5BE3"/>
    <w:rsid w:val="001D613B"/>
    <w:rsid w:val="001D622B"/>
    <w:rsid w:val="001D6473"/>
    <w:rsid w:val="001D656F"/>
    <w:rsid w:val="001D67B1"/>
    <w:rsid w:val="001D6B31"/>
    <w:rsid w:val="001D6C4D"/>
    <w:rsid w:val="001D708A"/>
    <w:rsid w:val="001D7272"/>
    <w:rsid w:val="001D74DB"/>
    <w:rsid w:val="001D7744"/>
    <w:rsid w:val="001D7765"/>
    <w:rsid w:val="001D7C65"/>
    <w:rsid w:val="001D7F50"/>
    <w:rsid w:val="001E19B0"/>
    <w:rsid w:val="001E1E04"/>
    <w:rsid w:val="001E207F"/>
    <w:rsid w:val="001E21A9"/>
    <w:rsid w:val="001E25A9"/>
    <w:rsid w:val="001E26E5"/>
    <w:rsid w:val="001E2B7F"/>
    <w:rsid w:val="001E2CC0"/>
    <w:rsid w:val="001E2DDB"/>
    <w:rsid w:val="001E3290"/>
    <w:rsid w:val="001E37F6"/>
    <w:rsid w:val="001E4632"/>
    <w:rsid w:val="001E54D6"/>
    <w:rsid w:val="001E5667"/>
    <w:rsid w:val="001E581A"/>
    <w:rsid w:val="001E5D91"/>
    <w:rsid w:val="001E639A"/>
    <w:rsid w:val="001E63BA"/>
    <w:rsid w:val="001E65D8"/>
    <w:rsid w:val="001E6B3D"/>
    <w:rsid w:val="001E6CCD"/>
    <w:rsid w:val="001E6D45"/>
    <w:rsid w:val="001E6D4F"/>
    <w:rsid w:val="001E703B"/>
    <w:rsid w:val="001E7E84"/>
    <w:rsid w:val="001F056F"/>
    <w:rsid w:val="001F08B8"/>
    <w:rsid w:val="001F0B4A"/>
    <w:rsid w:val="001F0DEB"/>
    <w:rsid w:val="001F1110"/>
    <w:rsid w:val="001F151C"/>
    <w:rsid w:val="001F1887"/>
    <w:rsid w:val="001F19B5"/>
    <w:rsid w:val="001F1B71"/>
    <w:rsid w:val="001F1C14"/>
    <w:rsid w:val="001F2497"/>
    <w:rsid w:val="001F28E6"/>
    <w:rsid w:val="001F2CBE"/>
    <w:rsid w:val="001F2DF4"/>
    <w:rsid w:val="001F2F6E"/>
    <w:rsid w:val="001F2FEF"/>
    <w:rsid w:val="001F3289"/>
    <w:rsid w:val="001F353B"/>
    <w:rsid w:val="001F3F03"/>
    <w:rsid w:val="001F4257"/>
    <w:rsid w:val="001F4941"/>
    <w:rsid w:val="001F4B77"/>
    <w:rsid w:val="001F4CCC"/>
    <w:rsid w:val="001F4E7D"/>
    <w:rsid w:val="001F515B"/>
    <w:rsid w:val="001F56D0"/>
    <w:rsid w:val="001F5821"/>
    <w:rsid w:val="001F5D31"/>
    <w:rsid w:val="001F5FE5"/>
    <w:rsid w:val="001F6760"/>
    <w:rsid w:val="001F684E"/>
    <w:rsid w:val="001F6D65"/>
    <w:rsid w:val="001F7219"/>
    <w:rsid w:val="001F73D2"/>
    <w:rsid w:val="001F76CF"/>
    <w:rsid w:val="001F7978"/>
    <w:rsid w:val="00200A44"/>
    <w:rsid w:val="00200AEA"/>
    <w:rsid w:val="00200B02"/>
    <w:rsid w:val="00200BB0"/>
    <w:rsid w:val="00200CD3"/>
    <w:rsid w:val="002010CB"/>
    <w:rsid w:val="00201AA1"/>
    <w:rsid w:val="002021C4"/>
    <w:rsid w:val="002029DC"/>
    <w:rsid w:val="00202FC8"/>
    <w:rsid w:val="00203096"/>
    <w:rsid w:val="002033F2"/>
    <w:rsid w:val="002036BD"/>
    <w:rsid w:val="0020377A"/>
    <w:rsid w:val="00203929"/>
    <w:rsid w:val="00203B86"/>
    <w:rsid w:val="002056D5"/>
    <w:rsid w:val="002058DA"/>
    <w:rsid w:val="00205B93"/>
    <w:rsid w:val="002063FA"/>
    <w:rsid w:val="00206470"/>
    <w:rsid w:val="00206D52"/>
    <w:rsid w:val="00206E93"/>
    <w:rsid w:val="00207069"/>
    <w:rsid w:val="00207493"/>
    <w:rsid w:val="0020755B"/>
    <w:rsid w:val="002075BD"/>
    <w:rsid w:val="00207CA3"/>
    <w:rsid w:val="00207F13"/>
    <w:rsid w:val="00210451"/>
    <w:rsid w:val="0021060A"/>
    <w:rsid w:val="00210BF1"/>
    <w:rsid w:val="002117E8"/>
    <w:rsid w:val="00211EA9"/>
    <w:rsid w:val="0021208D"/>
    <w:rsid w:val="002126C8"/>
    <w:rsid w:val="002129A5"/>
    <w:rsid w:val="002137CF"/>
    <w:rsid w:val="002139FB"/>
    <w:rsid w:val="00213EFA"/>
    <w:rsid w:val="002146AF"/>
    <w:rsid w:val="002148C9"/>
    <w:rsid w:val="00214C1D"/>
    <w:rsid w:val="00214CCE"/>
    <w:rsid w:val="00214E2C"/>
    <w:rsid w:val="0021509F"/>
    <w:rsid w:val="00215203"/>
    <w:rsid w:val="0021539B"/>
    <w:rsid w:val="0021564A"/>
    <w:rsid w:val="002156EF"/>
    <w:rsid w:val="00215760"/>
    <w:rsid w:val="00215807"/>
    <w:rsid w:val="00217B94"/>
    <w:rsid w:val="00217C04"/>
    <w:rsid w:val="00217C0F"/>
    <w:rsid w:val="00217E61"/>
    <w:rsid w:val="002205A0"/>
    <w:rsid w:val="00220BB5"/>
    <w:rsid w:val="00220CE9"/>
    <w:rsid w:val="002210FC"/>
    <w:rsid w:val="002219C4"/>
    <w:rsid w:val="002221E7"/>
    <w:rsid w:val="002226B5"/>
    <w:rsid w:val="00222FAB"/>
    <w:rsid w:val="002231FE"/>
    <w:rsid w:val="002234CD"/>
    <w:rsid w:val="00223D49"/>
    <w:rsid w:val="00223E8E"/>
    <w:rsid w:val="00224127"/>
    <w:rsid w:val="0022413B"/>
    <w:rsid w:val="002241CC"/>
    <w:rsid w:val="00224538"/>
    <w:rsid w:val="00225266"/>
    <w:rsid w:val="002253CD"/>
    <w:rsid w:val="00225CE4"/>
    <w:rsid w:val="002265DA"/>
    <w:rsid w:val="002267F6"/>
    <w:rsid w:val="002269BF"/>
    <w:rsid w:val="002269C1"/>
    <w:rsid w:val="00226C1F"/>
    <w:rsid w:val="00227FDF"/>
    <w:rsid w:val="002313FC"/>
    <w:rsid w:val="00231CB6"/>
    <w:rsid w:val="0023270C"/>
    <w:rsid w:val="0023381D"/>
    <w:rsid w:val="0023431C"/>
    <w:rsid w:val="002349B0"/>
    <w:rsid w:val="00234ABE"/>
    <w:rsid w:val="00234B9E"/>
    <w:rsid w:val="00235E5A"/>
    <w:rsid w:val="002360A7"/>
    <w:rsid w:val="002362E7"/>
    <w:rsid w:val="0023659F"/>
    <w:rsid w:val="00236601"/>
    <w:rsid w:val="00236DE9"/>
    <w:rsid w:val="00237416"/>
    <w:rsid w:val="00237677"/>
    <w:rsid w:val="002376C9"/>
    <w:rsid w:val="00237B07"/>
    <w:rsid w:val="002400E2"/>
    <w:rsid w:val="002400F9"/>
    <w:rsid w:val="002403AC"/>
    <w:rsid w:val="0024042F"/>
    <w:rsid w:val="00240B95"/>
    <w:rsid w:val="00240E79"/>
    <w:rsid w:val="002413FB"/>
    <w:rsid w:val="00241418"/>
    <w:rsid w:val="002414C1"/>
    <w:rsid w:val="00241927"/>
    <w:rsid w:val="00241F13"/>
    <w:rsid w:val="00242191"/>
    <w:rsid w:val="0024222E"/>
    <w:rsid w:val="00242258"/>
    <w:rsid w:val="00242EA1"/>
    <w:rsid w:val="00242EB0"/>
    <w:rsid w:val="0024327F"/>
    <w:rsid w:val="00243610"/>
    <w:rsid w:val="00243718"/>
    <w:rsid w:val="00243CBD"/>
    <w:rsid w:val="00243DDA"/>
    <w:rsid w:val="0024445A"/>
    <w:rsid w:val="00244732"/>
    <w:rsid w:val="00244B5A"/>
    <w:rsid w:val="00245376"/>
    <w:rsid w:val="002460F2"/>
    <w:rsid w:val="00246893"/>
    <w:rsid w:val="00247297"/>
    <w:rsid w:val="0024750D"/>
    <w:rsid w:val="002478ED"/>
    <w:rsid w:val="00247A57"/>
    <w:rsid w:val="00247B9A"/>
    <w:rsid w:val="002507CB"/>
    <w:rsid w:val="00250BA1"/>
    <w:rsid w:val="00251447"/>
    <w:rsid w:val="002514CD"/>
    <w:rsid w:val="0025155E"/>
    <w:rsid w:val="002523F2"/>
    <w:rsid w:val="00252A02"/>
    <w:rsid w:val="00252B9D"/>
    <w:rsid w:val="00252C37"/>
    <w:rsid w:val="00252F3B"/>
    <w:rsid w:val="00253129"/>
    <w:rsid w:val="00253300"/>
    <w:rsid w:val="00253F23"/>
    <w:rsid w:val="00254236"/>
    <w:rsid w:val="00254300"/>
    <w:rsid w:val="00254413"/>
    <w:rsid w:val="00254531"/>
    <w:rsid w:val="0025488D"/>
    <w:rsid w:val="00254942"/>
    <w:rsid w:val="002563F4"/>
    <w:rsid w:val="00256531"/>
    <w:rsid w:val="00256E15"/>
    <w:rsid w:val="00257265"/>
    <w:rsid w:val="00257327"/>
    <w:rsid w:val="0025754D"/>
    <w:rsid w:val="00257BA7"/>
    <w:rsid w:val="00257BA8"/>
    <w:rsid w:val="00257F2A"/>
    <w:rsid w:val="002607BF"/>
    <w:rsid w:val="00260B21"/>
    <w:rsid w:val="00260C29"/>
    <w:rsid w:val="00261774"/>
    <w:rsid w:val="00261995"/>
    <w:rsid w:val="00262066"/>
    <w:rsid w:val="002627DF"/>
    <w:rsid w:val="00262881"/>
    <w:rsid w:val="00262AB6"/>
    <w:rsid w:val="00262C67"/>
    <w:rsid w:val="00262E6C"/>
    <w:rsid w:val="00262E83"/>
    <w:rsid w:val="00264165"/>
    <w:rsid w:val="00264F19"/>
    <w:rsid w:val="00265480"/>
    <w:rsid w:val="00265747"/>
    <w:rsid w:val="00265A4A"/>
    <w:rsid w:val="00265E32"/>
    <w:rsid w:val="00266D39"/>
    <w:rsid w:val="00266EDA"/>
    <w:rsid w:val="002671AA"/>
    <w:rsid w:val="002675A5"/>
    <w:rsid w:val="0026785B"/>
    <w:rsid w:val="00267B3A"/>
    <w:rsid w:val="00267CA8"/>
    <w:rsid w:val="00270428"/>
    <w:rsid w:val="002709A6"/>
    <w:rsid w:val="0027114E"/>
    <w:rsid w:val="002714F0"/>
    <w:rsid w:val="0027199C"/>
    <w:rsid w:val="002727C3"/>
    <w:rsid w:val="00272CE7"/>
    <w:rsid w:val="00272E44"/>
    <w:rsid w:val="00273340"/>
    <w:rsid w:val="00273FD3"/>
    <w:rsid w:val="0027461A"/>
    <w:rsid w:val="00274DDC"/>
    <w:rsid w:val="00275418"/>
    <w:rsid w:val="002755E5"/>
    <w:rsid w:val="002761AB"/>
    <w:rsid w:val="002763A1"/>
    <w:rsid w:val="0027670A"/>
    <w:rsid w:val="002767A1"/>
    <w:rsid w:val="00277355"/>
    <w:rsid w:val="002774F8"/>
    <w:rsid w:val="002775E5"/>
    <w:rsid w:val="00277E42"/>
    <w:rsid w:val="00280103"/>
    <w:rsid w:val="002801CA"/>
    <w:rsid w:val="0028029A"/>
    <w:rsid w:val="002806FA"/>
    <w:rsid w:val="00280B5A"/>
    <w:rsid w:val="00280D8F"/>
    <w:rsid w:val="00280EB9"/>
    <w:rsid w:val="00280FC7"/>
    <w:rsid w:val="002811AC"/>
    <w:rsid w:val="00281952"/>
    <w:rsid w:val="00281A4C"/>
    <w:rsid w:val="002821D0"/>
    <w:rsid w:val="00282859"/>
    <w:rsid w:val="00282F4B"/>
    <w:rsid w:val="00283E52"/>
    <w:rsid w:val="00284296"/>
    <w:rsid w:val="002844F3"/>
    <w:rsid w:val="002846E1"/>
    <w:rsid w:val="00284D34"/>
    <w:rsid w:val="00284D45"/>
    <w:rsid w:val="002852E6"/>
    <w:rsid w:val="00285322"/>
    <w:rsid w:val="002860C7"/>
    <w:rsid w:val="002862E0"/>
    <w:rsid w:val="00286772"/>
    <w:rsid w:val="00286C6D"/>
    <w:rsid w:val="00287AAF"/>
    <w:rsid w:val="00287BED"/>
    <w:rsid w:val="00287DC8"/>
    <w:rsid w:val="00290357"/>
    <w:rsid w:val="00290AC5"/>
    <w:rsid w:val="00290B26"/>
    <w:rsid w:val="00290FB2"/>
    <w:rsid w:val="00290FC4"/>
    <w:rsid w:val="00291721"/>
    <w:rsid w:val="0029210F"/>
    <w:rsid w:val="00292534"/>
    <w:rsid w:val="002926CF"/>
    <w:rsid w:val="002927A3"/>
    <w:rsid w:val="00292B7E"/>
    <w:rsid w:val="00293268"/>
    <w:rsid w:val="00293C00"/>
    <w:rsid w:val="002943A5"/>
    <w:rsid w:val="002949AA"/>
    <w:rsid w:val="00294F48"/>
    <w:rsid w:val="00294F59"/>
    <w:rsid w:val="002953C8"/>
    <w:rsid w:val="00295E52"/>
    <w:rsid w:val="0029637D"/>
    <w:rsid w:val="00296951"/>
    <w:rsid w:val="00296AF3"/>
    <w:rsid w:val="00296E20"/>
    <w:rsid w:val="002971CD"/>
    <w:rsid w:val="00297CDA"/>
    <w:rsid w:val="002A0A79"/>
    <w:rsid w:val="002A108A"/>
    <w:rsid w:val="002A10F3"/>
    <w:rsid w:val="002A18A9"/>
    <w:rsid w:val="002A1CA4"/>
    <w:rsid w:val="002A1EBD"/>
    <w:rsid w:val="002A2213"/>
    <w:rsid w:val="002A245A"/>
    <w:rsid w:val="002A2890"/>
    <w:rsid w:val="002A2E45"/>
    <w:rsid w:val="002A2F38"/>
    <w:rsid w:val="002A2FE8"/>
    <w:rsid w:val="002A3149"/>
    <w:rsid w:val="002A3446"/>
    <w:rsid w:val="002A366D"/>
    <w:rsid w:val="002A37C5"/>
    <w:rsid w:val="002A3970"/>
    <w:rsid w:val="002A3A20"/>
    <w:rsid w:val="002A3C0C"/>
    <w:rsid w:val="002A4B9C"/>
    <w:rsid w:val="002A53DA"/>
    <w:rsid w:val="002A5DE1"/>
    <w:rsid w:val="002A5F38"/>
    <w:rsid w:val="002A6726"/>
    <w:rsid w:val="002A676D"/>
    <w:rsid w:val="002A6CA0"/>
    <w:rsid w:val="002A7118"/>
    <w:rsid w:val="002A74D4"/>
    <w:rsid w:val="002A7586"/>
    <w:rsid w:val="002A7852"/>
    <w:rsid w:val="002A7CB7"/>
    <w:rsid w:val="002B02B2"/>
    <w:rsid w:val="002B041A"/>
    <w:rsid w:val="002B073B"/>
    <w:rsid w:val="002B0C26"/>
    <w:rsid w:val="002B0E1E"/>
    <w:rsid w:val="002B0E89"/>
    <w:rsid w:val="002B0FF6"/>
    <w:rsid w:val="002B12D5"/>
    <w:rsid w:val="002B1506"/>
    <w:rsid w:val="002B167C"/>
    <w:rsid w:val="002B186C"/>
    <w:rsid w:val="002B1957"/>
    <w:rsid w:val="002B1B71"/>
    <w:rsid w:val="002B2742"/>
    <w:rsid w:val="002B27A7"/>
    <w:rsid w:val="002B2823"/>
    <w:rsid w:val="002B3239"/>
    <w:rsid w:val="002B419A"/>
    <w:rsid w:val="002B42F9"/>
    <w:rsid w:val="002B4429"/>
    <w:rsid w:val="002B495E"/>
    <w:rsid w:val="002B4CC0"/>
    <w:rsid w:val="002B4E70"/>
    <w:rsid w:val="002B5058"/>
    <w:rsid w:val="002B58E6"/>
    <w:rsid w:val="002B6085"/>
    <w:rsid w:val="002B62C6"/>
    <w:rsid w:val="002B6372"/>
    <w:rsid w:val="002B657E"/>
    <w:rsid w:val="002B66F6"/>
    <w:rsid w:val="002B724B"/>
    <w:rsid w:val="002B7560"/>
    <w:rsid w:val="002B7584"/>
    <w:rsid w:val="002B7F55"/>
    <w:rsid w:val="002BE5AE"/>
    <w:rsid w:val="002C050E"/>
    <w:rsid w:val="002C0F64"/>
    <w:rsid w:val="002C12A1"/>
    <w:rsid w:val="002C16EB"/>
    <w:rsid w:val="002C1D3F"/>
    <w:rsid w:val="002C1FCB"/>
    <w:rsid w:val="002C21CC"/>
    <w:rsid w:val="002C273D"/>
    <w:rsid w:val="002C2A1E"/>
    <w:rsid w:val="002C2AF7"/>
    <w:rsid w:val="002C31BA"/>
    <w:rsid w:val="002C35F0"/>
    <w:rsid w:val="002C361F"/>
    <w:rsid w:val="002C3A5A"/>
    <w:rsid w:val="002C4594"/>
    <w:rsid w:val="002C4E4B"/>
    <w:rsid w:val="002C5071"/>
    <w:rsid w:val="002C525A"/>
    <w:rsid w:val="002C592C"/>
    <w:rsid w:val="002C60D3"/>
    <w:rsid w:val="002C6A58"/>
    <w:rsid w:val="002C6A5C"/>
    <w:rsid w:val="002C71A7"/>
    <w:rsid w:val="002C77DF"/>
    <w:rsid w:val="002C7B90"/>
    <w:rsid w:val="002C7BC7"/>
    <w:rsid w:val="002D0106"/>
    <w:rsid w:val="002D0CD7"/>
    <w:rsid w:val="002D0CE9"/>
    <w:rsid w:val="002D0D88"/>
    <w:rsid w:val="002D0EEC"/>
    <w:rsid w:val="002D1356"/>
    <w:rsid w:val="002D17CE"/>
    <w:rsid w:val="002D17D9"/>
    <w:rsid w:val="002D181C"/>
    <w:rsid w:val="002D1CBD"/>
    <w:rsid w:val="002D1D35"/>
    <w:rsid w:val="002D24DE"/>
    <w:rsid w:val="002D2946"/>
    <w:rsid w:val="002D2C00"/>
    <w:rsid w:val="002D333A"/>
    <w:rsid w:val="002D37FF"/>
    <w:rsid w:val="002D46E2"/>
    <w:rsid w:val="002D54CA"/>
    <w:rsid w:val="002D6FBF"/>
    <w:rsid w:val="002D74F5"/>
    <w:rsid w:val="002D78BF"/>
    <w:rsid w:val="002D7D60"/>
    <w:rsid w:val="002E02B7"/>
    <w:rsid w:val="002E0737"/>
    <w:rsid w:val="002E07BD"/>
    <w:rsid w:val="002E08F7"/>
    <w:rsid w:val="002E10DC"/>
    <w:rsid w:val="002E1311"/>
    <w:rsid w:val="002E1784"/>
    <w:rsid w:val="002E1AAC"/>
    <w:rsid w:val="002E1D0F"/>
    <w:rsid w:val="002E1E13"/>
    <w:rsid w:val="002E1FC2"/>
    <w:rsid w:val="002E219C"/>
    <w:rsid w:val="002E2B48"/>
    <w:rsid w:val="002E2F86"/>
    <w:rsid w:val="002E37C9"/>
    <w:rsid w:val="002E3DA4"/>
    <w:rsid w:val="002E41BB"/>
    <w:rsid w:val="002E4531"/>
    <w:rsid w:val="002E459E"/>
    <w:rsid w:val="002E4663"/>
    <w:rsid w:val="002E4896"/>
    <w:rsid w:val="002E48C9"/>
    <w:rsid w:val="002E4951"/>
    <w:rsid w:val="002E4FDE"/>
    <w:rsid w:val="002E5191"/>
    <w:rsid w:val="002E561C"/>
    <w:rsid w:val="002E59FB"/>
    <w:rsid w:val="002E5AD4"/>
    <w:rsid w:val="002E5CDE"/>
    <w:rsid w:val="002E6274"/>
    <w:rsid w:val="002E62B4"/>
    <w:rsid w:val="002E67BB"/>
    <w:rsid w:val="002E6A22"/>
    <w:rsid w:val="002E78DF"/>
    <w:rsid w:val="002F006C"/>
    <w:rsid w:val="002F046A"/>
    <w:rsid w:val="002F0746"/>
    <w:rsid w:val="002F0C87"/>
    <w:rsid w:val="002F0EE5"/>
    <w:rsid w:val="002F1174"/>
    <w:rsid w:val="002F1323"/>
    <w:rsid w:val="002F15C5"/>
    <w:rsid w:val="002F2210"/>
    <w:rsid w:val="002F2351"/>
    <w:rsid w:val="002F248A"/>
    <w:rsid w:val="002F2F0D"/>
    <w:rsid w:val="002F3203"/>
    <w:rsid w:val="002F33DC"/>
    <w:rsid w:val="002F35E8"/>
    <w:rsid w:val="002F3BB0"/>
    <w:rsid w:val="002F3C5D"/>
    <w:rsid w:val="002F3DED"/>
    <w:rsid w:val="002F3FC1"/>
    <w:rsid w:val="002F3FD9"/>
    <w:rsid w:val="002F4083"/>
    <w:rsid w:val="002F4B8D"/>
    <w:rsid w:val="002F519A"/>
    <w:rsid w:val="002F52FA"/>
    <w:rsid w:val="002F55D4"/>
    <w:rsid w:val="002F5830"/>
    <w:rsid w:val="002F585A"/>
    <w:rsid w:val="002F5A51"/>
    <w:rsid w:val="002F6372"/>
    <w:rsid w:val="002F649B"/>
    <w:rsid w:val="002F66EC"/>
    <w:rsid w:val="002F67E5"/>
    <w:rsid w:val="002F6DD1"/>
    <w:rsid w:val="002F7406"/>
    <w:rsid w:val="002F7BD0"/>
    <w:rsid w:val="002F7C50"/>
    <w:rsid w:val="00300281"/>
    <w:rsid w:val="00300640"/>
    <w:rsid w:val="00300B75"/>
    <w:rsid w:val="00300CDA"/>
    <w:rsid w:val="003014D2"/>
    <w:rsid w:val="00301831"/>
    <w:rsid w:val="00301D2B"/>
    <w:rsid w:val="003020A3"/>
    <w:rsid w:val="0030273A"/>
    <w:rsid w:val="00302C5C"/>
    <w:rsid w:val="0030324B"/>
    <w:rsid w:val="00303555"/>
    <w:rsid w:val="00303A5A"/>
    <w:rsid w:val="00303DB5"/>
    <w:rsid w:val="00303EC6"/>
    <w:rsid w:val="00304498"/>
    <w:rsid w:val="0030493E"/>
    <w:rsid w:val="003054AD"/>
    <w:rsid w:val="003055A4"/>
    <w:rsid w:val="003059AB"/>
    <w:rsid w:val="00305E71"/>
    <w:rsid w:val="00305ECF"/>
    <w:rsid w:val="00306984"/>
    <w:rsid w:val="0030753B"/>
    <w:rsid w:val="003077C0"/>
    <w:rsid w:val="00307D81"/>
    <w:rsid w:val="003102A1"/>
    <w:rsid w:val="003102C3"/>
    <w:rsid w:val="00310313"/>
    <w:rsid w:val="00310AE0"/>
    <w:rsid w:val="00310C36"/>
    <w:rsid w:val="00310C41"/>
    <w:rsid w:val="0031130D"/>
    <w:rsid w:val="0031295F"/>
    <w:rsid w:val="00312AD4"/>
    <w:rsid w:val="00312DEE"/>
    <w:rsid w:val="00313628"/>
    <w:rsid w:val="00313AAF"/>
    <w:rsid w:val="00313DE8"/>
    <w:rsid w:val="00313F89"/>
    <w:rsid w:val="00314A3F"/>
    <w:rsid w:val="00314D2E"/>
    <w:rsid w:val="00314D5E"/>
    <w:rsid w:val="00314D81"/>
    <w:rsid w:val="003151AE"/>
    <w:rsid w:val="003156C4"/>
    <w:rsid w:val="003165EB"/>
    <w:rsid w:val="00316805"/>
    <w:rsid w:val="00316E7C"/>
    <w:rsid w:val="0031748A"/>
    <w:rsid w:val="0031769A"/>
    <w:rsid w:val="003176D1"/>
    <w:rsid w:val="00317CC9"/>
    <w:rsid w:val="00320064"/>
    <w:rsid w:val="003201F3"/>
    <w:rsid w:val="0032184D"/>
    <w:rsid w:val="00321A02"/>
    <w:rsid w:val="00321D15"/>
    <w:rsid w:val="00321EFC"/>
    <w:rsid w:val="003224AE"/>
    <w:rsid w:val="003225B0"/>
    <w:rsid w:val="00322AAF"/>
    <w:rsid w:val="00322E50"/>
    <w:rsid w:val="00322F31"/>
    <w:rsid w:val="00323149"/>
    <w:rsid w:val="003234C4"/>
    <w:rsid w:val="00324056"/>
    <w:rsid w:val="00324C65"/>
    <w:rsid w:val="00324C6C"/>
    <w:rsid w:val="003256BA"/>
    <w:rsid w:val="00325AD5"/>
    <w:rsid w:val="00325E13"/>
    <w:rsid w:val="00326616"/>
    <w:rsid w:val="003268C9"/>
    <w:rsid w:val="0032691E"/>
    <w:rsid w:val="003269FC"/>
    <w:rsid w:val="00327853"/>
    <w:rsid w:val="00327B6A"/>
    <w:rsid w:val="00330B5A"/>
    <w:rsid w:val="00330C08"/>
    <w:rsid w:val="003313FA"/>
    <w:rsid w:val="00331FC1"/>
    <w:rsid w:val="00332132"/>
    <w:rsid w:val="00332A60"/>
    <w:rsid w:val="00332AE4"/>
    <w:rsid w:val="00332CA2"/>
    <w:rsid w:val="00332E1C"/>
    <w:rsid w:val="0033342B"/>
    <w:rsid w:val="003340AD"/>
    <w:rsid w:val="00335180"/>
    <w:rsid w:val="003356BE"/>
    <w:rsid w:val="00335849"/>
    <w:rsid w:val="0033595A"/>
    <w:rsid w:val="003363F8"/>
    <w:rsid w:val="003364CE"/>
    <w:rsid w:val="00336612"/>
    <w:rsid w:val="003366BE"/>
    <w:rsid w:val="00336C27"/>
    <w:rsid w:val="00336FEA"/>
    <w:rsid w:val="003377EB"/>
    <w:rsid w:val="00337D05"/>
    <w:rsid w:val="0034032F"/>
    <w:rsid w:val="003405DF"/>
    <w:rsid w:val="003408D7"/>
    <w:rsid w:val="00341A87"/>
    <w:rsid w:val="00342404"/>
    <w:rsid w:val="00342621"/>
    <w:rsid w:val="003427B2"/>
    <w:rsid w:val="00342A5A"/>
    <w:rsid w:val="00342C0A"/>
    <w:rsid w:val="0034309B"/>
    <w:rsid w:val="00343AF3"/>
    <w:rsid w:val="00344396"/>
    <w:rsid w:val="00344BF2"/>
    <w:rsid w:val="00344FA5"/>
    <w:rsid w:val="0034512F"/>
    <w:rsid w:val="003451E4"/>
    <w:rsid w:val="00345D6D"/>
    <w:rsid w:val="0034618B"/>
    <w:rsid w:val="003463B0"/>
    <w:rsid w:val="00346516"/>
    <w:rsid w:val="00346633"/>
    <w:rsid w:val="00346688"/>
    <w:rsid w:val="00347245"/>
    <w:rsid w:val="00347693"/>
    <w:rsid w:val="00347C33"/>
    <w:rsid w:val="0035043B"/>
    <w:rsid w:val="003507D6"/>
    <w:rsid w:val="003508B3"/>
    <w:rsid w:val="0035092B"/>
    <w:rsid w:val="00350B56"/>
    <w:rsid w:val="00350D3F"/>
    <w:rsid w:val="00351357"/>
    <w:rsid w:val="00351824"/>
    <w:rsid w:val="00351B6E"/>
    <w:rsid w:val="003525DF"/>
    <w:rsid w:val="003525F1"/>
    <w:rsid w:val="00352809"/>
    <w:rsid w:val="003529F5"/>
    <w:rsid w:val="00352BC1"/>
    <w:rsid w:val="00352EDF"/>
    <w:rsid w:val="0035300B"/>
    <w:rsid w:val="003532B6"/>
    <w:rsid w:val="00353386"/>
    <w:rsid w:val="0035338C"/>
    <w:rsid w:val="0035355D"/>
    <w:rsid w:val="00353B59"/>
    <w:rsid w:val="00353D2C"/>
    <w:rsid w:val="003544E3"/>
    <w:rsid w:val="003545E7"/>
    <w:rsid w:val="0035485E"/>
    <w:rsid w:val="003551EE"/>
    <w:rsid w:val="00355364"/>
    <w:rsid w:val="00355600"/>
    <w:rsid w:val="00355638"/>
    <w:rsid w:val="0035592A"/>
    <w:rsid w:val="00355B75"/>
    <w:rsid w:val="00355D41"/>
    <w:rsid w:val="00355DD2"/>
    <w:rsid w:val="00356361"/>
    <w:rsid w:val="00356819"/>
    <w:rsid w:val="00356D7D"/>
    <w:rsid w:val="00357094"/>
    <w:rsid w:val="003573E2"/>
    <w:rsid w:val="003574B5"/>
    <w:rsid w:val="0035761F"/>
    <w:rsid w:val="00357BD2"/>
    <w:rsid w:val="00357C14"/>
    <w:rsid w:val="00357E76"/>
    <w:rsid w:val="0036026D"/>
    <w:rsid w:val="003607E8"/>
    <w:rsid w:val="00360CEA"/>
    <w:rsid w:val="003610F3"/>
    <w:rsid w:val="00361223"/>
    <w:rsid w:val="0036179A"/>
    <w:rsid w:val="00362440"/>
    <w:rsid w:val="0036273A"/>
    <w:rsid w:val="00362D0C"/>
    <w:rsid w:val="00362F07"/>
    <w:rsid w:val="003631DC"/>
    <w:rsid w:val="00363296"/>
    <w:rsid w:val="00363791"/>
    <w:rsid w:val="00363BE8"/>
    <w:rsid w:val="0036400D"/>
    <w:rsid w:val="0036420A"/>
    <w:rsid w:val="00364750"/>
    <w:rsid w:val="00364D9B"/>
    <w:rsid w:val="0036501D"/>
    <w:rsid w:val="00365BEB"/>
    <w:rsid w:val="00365D8C"/>
    <w:rsid w:val="00365E46"/>
    <w:rsid w:val="00365E85"/>
    <w:rsid w:val="00365EC2"/>
    <w:rsid w:val="0036607B"/>
    <w:rsid w:val="00366205"/>
    <w:rsid w:val="0036689E"/>
    <w:rsid w:val="00366B3F"/>
    <w:rsid w:val="00366C9C"/>
    <w:rsid w:val="00366CE8"/>
    <w:rsid w:val="00367030"/>
    <w:rsid w:val="00367127"/>
    <w:rsid w:val="00367722"/>
    <w:rsid w:val="0036798B"/>
    <w:rsid w:val="00367D65"/>
    <w:rsid w:val="00370FF8"/>
    <w:rsid w:val="00371A57"/>
    <w:rsid w:val="0037425F"/>
    <w:rsid w:val="00374282"/>
    <w:rsid w:val="003743DC"/>
    <w:rsid w:val="0037482C"/>
    <w:rsid w:val="00374A23"/>
    <w:rsid w:val="00374ACA"/>
    <w:rsid w:val="00374D15"/>
    <w:rsid w:val="00374D8D"/>
    <w:rsid w:val="00374FDB"/>
    <w:rsid w:val="0037526A"/>
    <w:rsid w:val="00375437"/>
    <w:rsid w:val="003755E4"/>
    <w:rsid w:val="00375948"/>
    <w:rsid w:val="00375FC5"/>
    <w:rsid w:val="00376036"/>
    <w:rsid w:val="003768AB"/>
    <w:rsid w:val="00376D67"/>
    <w:rsid w:val="0037713C"/>
    <w:rsid w:val="00377506"/>
    <w:rsid w:val="00377BBD"/>
    <w:rsid w:val="00377FD0"/>
    <w:rsid w:val="00380044"/>
    <w:rsid w:val="00380299"/>
    <w:rsid w:val="00380357"/>
    <w:rsid w:val="00380521"/>
    <w:rsid w:val="003805C5"/>
    <w:rsid w:val="003809E4"/>
    <w:rsid w:val="003817D6"/>
    <w:rsid w:val="00381DA7"/>
    <w:rsid w:val="00382716"/>
    <w:rsid w:val="00382D82"/>
    <w:rsid w:val="00382E24"/>
    <w:rsid w:val="00382F96"/>
    <w:rsid w:val="0038380E"/>
    <w:rsid w:val="0038393B"/>
    <w:rsid w:val="00383A13"/>
    <w:rsid w:val="00383BEA"/>
    <w:rsid w:val="00383D09"/>
    <w:rsid w:val="0038469A"/>
    <w:rsid w:val="003846DF"/>
    <w:rsid w:val="00385328"/>
    <w:rsid w:val="003854C0"/>
    <w:rsid w:val="00385A4E"/>
    <w:rsid w:val="00385B92"/>
    <w:rsid w:val="00385D2D"/>
    <w:rsid w:val="00385E2A"/>
    <w:rsid w:val="0038605A"/>
    <w:rsid w:val="00386A6B"/>
    <w:rsid w:val="00386AEE"/>
    <w:rsid w:val="00386ED2"/>
    <w:rsid w:val="0038721B"/>
    <w:rsid w:val="00387B99"/>
    <w:rsid w:val="00387BAB"/>
    <w:rsid w:val="00387CE3"/>
    <w:rsid w:val="00387F83"/>
    <w:rsid w:val="003904A1"/>
    <w:rsid w:val="00390D5F"/>
    <w:rsid w:val="00390E22"/>
    <w:rsid w:val="00390F93"/>
    <w:rsid w:val="00391080"/>
    <w:rsid w:val="00391688"/>
    <w:rsid w:val="003916BC"/>
    <w:rsid w:val="00391767"/>
    <w:rsid w:val="00391832"/>
    <w:rsid w:val="00391AD4"/>
    <w:rsid w:val="00392629"/>
    <w:rsid w:val="00392B16"/>
    <w:rsid w:val="00393045"/>
    <w:rsid w:val="00393E2E"/>
    <w:rsid w:val="00393FAA"/>
    <w:rsid w:val="0039444A"/>
    <w:rsid w:val="003947EA"/>
    <w:rsid w:val="0039508E"/>
    <w:rsid w:val="00395160"/>
    <w:rsid w:val="003951C6"/>
    <w:rsid w:val="00395FD4"/>
    <w:rsid w:val="00395FF3"/>
    <w:rsid w:val="003960C3"/>
    <w:rsid w:val="00396128"/>
    <w:rsid w:val="00396A68"/>
    <w:rsid w:val="00396BCC"/>
    <w:rsid w:val="00396D9A"/>
    <w:rsid w:val="00397B47"/>
    <w:rsid w:val="00397C1F"/>
    <w:rsid w:val="00397DA0"/>
    <w:rsid w:val="003A01B3"/>
    <w:rsid w:val="003A060E"/>
    <w:rsid w:val="003A0663"/>
    <w:rsid w:val="003A0755"/>
    <w:rsid w:val="003A0A27"/>
    <w:rsid w:val="003A0A38"/>
    <w:rsid w:val="003A0D4C"/>
    <w:rsid w:val="003A0E1D"/>
    <w:rsid w:val="003A128A"/>
    <w:rsid w:val="003A1425"/>
    <w:rsid w:val="003A1D21"/>
    <w:rsid w:val="003A28D9"/>
    <w:rsid w:val="003A2FAC"/>
    <w:rsid w:val="003A32F4"/>
    <w:rsid w:val="003A33BA"/>
    <w:rsid w:val="003A3824"/>
    <w:rsid w:val="003A3AE7"/>
    <w:rsid w:val="003A3BD9"/>
    <w:rsid w:val="003A4385"/>
    <w:rsid w:val="003A4D81"/>
    <w:rsid w:val="003A5483"/>
    <w:rsid w:val="003A5830"/>
    <w:rsid w:val="003A5AA8"/>
    <w:rsid w:val="003A5EA6"/>
    <w:rsid w:val="003A63A2"/>
    <w:rsid w:val="003A6DB5"/>
    <w:rsid w:val="003A763D"/>
    <w:rsid w:val="003A7A58"/>
    <w:rsid w:val="003A7FA2"/>
    <w:rsid w:val="003B036F"/>
    <w:rsid w:val="003B03E2"/>
    <w:rsid w:val="003B04D9"/>
    <w:rsid w:val="003B067F"/>
    <w:rsid w:val="003B06D0"/>
    <w:rsid w:val="003B0799"/>
    <w:rsid w:val="003B0F05"/>
    <w:rsid w:val="003B116B"/>
    <w:rsid w:val="003B12F8"/>
    <w:rsid w:val="003B13F9"/>
    <w:rsid w:val="003B1D52"/>
    <w:rsid w:val="003B2117"/>
    <w:rsid w:val="003B21B8"/>
    <w:rsid w:val="003B2FC1"/>
    <w:rsid w:val="003B3012"/>
    <w:rsid w:val="003B386B"/>
    <w:rsid w:val="003B3A1B"/>
    <w:rsid w:val="003B3C04"/>
    <w:rsid w:val="003B4327"/>
    <w:rsid w:val="003B4342"/>
    <w:rsid w:val="003B4A6D"/>
    <w:rsid w:val="003B4BD1"/>
    <w:rsid w:val="003B4E97"/>
    <w:rsid w:val="003B5B3E"/>
    <w:rsid w:val="003B5DFF"/>
    <w:rsid w:val="003B6559"/>
    <w:rsid w:val="003B65BE"/>
    <w:rsid w:val="003B69A0"/>
    <w:rsid w:val="003B6B09"/>
    <w:rsid w:val="003B6C9F"/>
    <w:rsid w:val="003B6CF4"/>
    <w:rsid w:val="003B6DE1"/>
    <w:rsid w:val="003B6DF9"/>
    <w:rsid w:val="003B6FAB"/>
    <w:rsid w:val="003B7695"/>
    <w:rsid w:val="003B76A7"/>
    <w:rsid w:val="003B7969"/>
    <w:rsid w:val="003B7B79"/>
    <w:rsid w:val="003B7EC6"/>
    <w:rsid w:val="003C0169"/>
    <w:rsid w:val="003C032A"/>
    <w:rsid w:val="003C0394"/>
    <w:rsid w:val="003C067E"/>
    <w:rsid w:val="003C08D1"/>
    <w:rsid w:val="003C0B32"/>
    <w:rsid w:val="003C0E40"/>
    <w:rsid w:val="003C1315"/>
    <w:rsid w:val="003C17E3"/>
    <w:rsid w:val="003C19A4"/>
    <w:rsid w:val="003C1B10"/>
    <w:rsid w:val="003C1FF6"/>
    <w:rsid w:val="003C2501"/>
    <w:rsid w:val="003C28E7"/>
    <w:rsid w:val="003C301D"/>
    <w:rsid w:val="003C3478"/>
    <w:rsid w:val="003C3644"/>
    <w:rsid w:val="003C365E"/>
    <w:rsid w:val="003C43CB"/>
    <w:rsid w:val="003C4452"/>
    <w:rsid w:val="003C4B1E"/>
    <w:rsid w:val="003C551E"/>
    <w:rsid w:val="003C5897"/>
    <w:rsid w:val="003C602F"/>
    <w:rsid w:val="003C65BD"/>
    <w:rsid w:val="003C6697"/>
    <w:rsid w:val="003C66DB"/>
    <w:rsid w:val="003C67E1"/>
    <w:rsid w:val="003C710A"/>
    <w:rsid w:val="003C72FC"/>
    <w:rsid w:val="003C743E"/>
    <w:rsid w:val="003C7C40"/>
    <w:rsid w:val="003C7F17"/>
    <w:rsid w:val="003D014A"/>
    <w:rsid w:val="003D0652"/>
    <w:rsid w:val="003D07A7"/>
    <w:rsid w:val="003D07C7"/>
    <w:rsid w:val="003D10B3"/>
    <w:rsid w:val="003D20AC"/>
    <w:rsid w:val="003D217D"/>
    <w:rsid w:val="003D29EE"/>
    <w:rsid w:val="003D2B67"/>
    <w:rsid w:val="003D33F2"/>
    <w:rsid w:val="003D36EC"/>
    <w:rsid w:val="003D3BFA"/>
    <w:rsid w:val="003D3C6A"/>
    <w:rsid w:val="003D4F50"/>
    <w:rsid w:val="003D52D8"/>
    <w:rsid w:val="003D5384"/>
    <w:rsid w:val="003D5394"/>
    <w:rsid w:val="003D5750"/>
    <w:rsid w:val="003D6E15"/>
    <w:rsid w:val="003D6F68"/>
    <w:rsid w:val="003D7074"/>
    <w:rsid w:val="003D70D4"/>
    <w:rsid w:val="003D7277"/>
    <w:rsid w:val="003D741C"/>
    <w:rsid w:val="003D765D"/>
    <w:rsid w:val="003D7677"/>
    <w:rsid w:val="003D78AD"/>
    <w:rsid w:val="003D7B5C"/>
    <w:rsid w:val="003D7D84"/>
    <w:rsid w:val="003D7F04"/>
    <w:rsid w:val="003D7F9C"/>
    <w:rsid w:val="003E0423"/>
    <w:rsid w:val="003E0DD4"/>
    <w:rsid w:val="003E0DFB"/>
    <w:rsid w:val="003E1836"/>
    <w:rsid w:val="003E28DA"/>
    <w:rsid w:val="003E28E7"/>
    <w:rsid w:val="003E2C29"/>
    <w:rsid w:val="003E31D8"/>
    <w:rsid w:val="003E3B39"/>
    <w:rsid w:val="003E430C"/>
    <w:rsid w:val="003E4315"/>
    <w:rsid w:val="003E4587"/>
    <w:rsid w:val="003E5271"/>
    <w:rsid w:val="003E5B20"/>
    <w:rsid w:val="003E659E"/>
    <w:rsid w:val="003E6EBE"/>
    <w:rsid w:val="003E70F5"/>
    <w:rsid w:val="003E716B"/>
    <w:rsid w:val="003F0028"/>
    <w:rsid w:val="003F0578"/>
    <w:rsid w:val="003F1678"/>
    <w:rsid w:val="003F19DE"/>
    <w:rsid w:val="003F2008"/>
    <w:rsid w:val="003F21B7"/>
    <w:rsid w:val="003F25AB"/>
    <w:rsid w:val="003F2675"/>
    <w:rsid w:val="003F2CF2"/>
    <w:rsid w:val="003F2D3B"/>
    <w:rsid w:val="003F3A58"/>
    <w:rsid w:val="003F3C7A"/>
    <w:rsid w:val="003F3EDA"/>
    <w:rsid w:val="003F4002"/>
    <w:rsid w:val="003F42B7"/>
    <w:rsid w:val="003F43B3"/>
    <w:rsid w:val="003F43DF"/>
    <w:rsid w:val="003F454A"/>
    <w:rsid w:val="003F4716"/>
    <w:rsid w:val="003F4722"/>
    <w:rsid w:val="003F4789"/>
    <w:rsid w:val="003F4830"/>
    <w:rsid w:val="003F4A53"/>
    <w:rsid w:val="003F4C94"/>
    <w:rsid w:val="003F585A"/>
    <w:rsid w:val="003F5B51"/>
    <w:rsid w:val="003F5BFF"/>
    <w:rsid w:val="003F61D6"/>
    <w:rsid w:val="003F6456"/>
    <w:rsid w:val="003F65A1"/>
    <w:rsid w:val="003F6E54"/>
    <w:rsid w:val="003F701D"/>
    <w:rsid w:val="003F737D"/>
    <w:rsid w:val="003F748F"/>
    <w:rsid w:val="003F779C"/>
    <w:rsid w:val="00400969"/>
    <w:rsid w:val="004016F3"/>
    <w:rsid w:val="00401D0F"/>
    <w:rsid w:val="00401DAC"/>
    <w:rsid w:val="0040245D"/>
    <w:rsid w:val="004024B9"/>
    <w:rsid w:val="00402D30"/>
    <w:rsid w:val="00402E06"/>
    <w:rsid w:val="00402E45"/>
    <w:rsid w:val="004031D5"/>
    <w:rsid w:val="00403388"/>
    <w:rsid w:val="0040384E"/>
    <w:rsid w:val="00404175"/>
    <w:rsid w:val="0040535B"/>
    <w:rsid w:val="004053BB"/>
    <w:rsid w:val="0040556C"/>
    <w:rsid w:val="00405723"/>
    <w:rsid w:val="00405A22"/>
    <w:rsid w:val="00405C46"/>
    <w:rsid w:val="0040627A"/>
    <w:rsid w:val="00407447"/>
    <w:rsid w:val="0040763D"/>
    <w:rsid w:val="00407889"/>
    <w:rsid w:val="0040788B"/>
    <w:rsid w:val="00407A6A"/>
    <w:rsid w:val="004101D7"/>
    <w:rsid w:val="00410277"/>
    <w:rsid w:val="004103D5"/>
    <w:rsid w:val="00411C2B"/>
    <w:rsid w:val="00411D6B"/>
    <w:rsid w:val="004125EE"/>
    <w:rsid w:val="00412B57"/>
    <w:rsid w:val="00413C7C"/>
    <w:rsid w:val="004148D9"/>
    <w:rsid w:val="004148F6"/>
    <w:rsid w:val="00414D23"/>
    <w:rsid w:val="00415664"/>
    <w:rsid w:val="004157C7"/>
    <w:rsid w:val="0041598B"/>
    <w:rsid w:val="00415A58"/>
    <w:rsid w:val="00415FC5"/>
    <w:rsid w:val="004161E0"/>
    <w:rsid w:val="00416658"/>
    <w:rsid w:val="00416E4D"/>
    <w:rsid w:val="00417230"/>
    <w:rsid w:val="0041739E"/>
    <w:rsid w:val="00420B35"/>
    <w:rsid w:val="00420D3A"/>
    <w:rsid w:val="004211B6"/>
    <w:rsid w:val="00421864"/>
    <w:rsid w:val="00421F8D"/>
    <w:rsid w:val="00422030"/>
    <w:rsid w:val="00422623"/>
    <w:rsid w:val="004226F4"/>
    <w:rsid w:val="00422754"/>
    <w:rsid w:val="00423634"/>
    <w:rsid w:val="004240B7"/>
    <w:rsid w:val="0042440E"/>
    <w:rsid w:val="004245F1"/>
    <w:rsid w:val="00424BD6"/>
    <w:rsid w:val="00424DC6"/>
    <w:rsid w:val="00425193"/>
    <w:rsid w:val="00425418"/>
    <w:rsid w:val="004255ED"/>
    <w:rsid w:val="00426395"/>
    <w:rsid w:val="00426655"/>
    <w:rsid w:val="00426A02"/>
    <w:rsid w:val="00427C89"/>
    <w:rsid w:val="00427D9E"/>
    <w:rsid w:val="00427E70"/>
    <w:rsid w:val="0043082E"/>
    <w:rsid w:val="00430F85"/>
    <w:rsid w:val="0043107F"/>
    <w:rsid w:val="004315A4"/>
    <w:rsid w:val="004316B9"/>
    <w:rsid w:val="0043198C"/>
    <w:rsid w:val="00432546"/>
    <w:rsid w:val="0043291C"/>
    <w:rsid w:val="00432A38"/>
    <w:rsid w:val="004331A2"/>
    <w:rsid w:val="0043329A"/>
    <w:rsid w:val="00433394"/>
    <w:rsid w:val="00433494"/>
    <w:rsid w:val="004337A8"/>
    <w:rsid w:val="00433E20"/>
    <w:rsid w:val="00433F0A"/>
    <w:rsid w:val="00434079"/>
    <w:rsid w:val="00434340"/>
    <w:rsid w:val="004344C3"/>
    <w:rsid w:val="00434A88"/>
    <w:rsid w:val="00435712"/>
    <w:rsid w:val="00435C75"/>
    <w:rsid w:val="0043682E"/>
    <w:rsid w:val="00436997"/>
    <w:rsid w:val="00436B7C"/>
    <w:rsid w:val="00436DA1"/>
    <w:rsid w:val="0043724B"/>
    <w:rsid w:val="004377A2"/>
    <w:rsid w:val="00437DEA"/>
    <w:rsid w:val="00440146"/>
    <w:rsid w:val="004402D3"/>
    <w:rsid w:val="004403CF"/>
    <w:rsid w:val="00441177"/>
    <w:rsid w:val="004415C9"/>
    <w:rsid w:val="0044169D"/>
    <w:rsid w:val="0044172C"/>
    <w:rsid w:val="00441E1A"/>
    <w:rsid w:val="00442410"/>
    <w:rsid w:val="004424A0"/>
    <w:rsid w:val="004424E3"/>
    <w:rsid w:val="004431BB"/>
    <w:rsid w:val="004433DD"/>
    <w:rsid w:val="00443590"/>
    <w:rsid w:val="004436A6"/>
    <w:rsid w:val="004442D8"/>
    <w:rsid w:val="004442FB"/>
    <w:rsid w:val="00444824"/>
    <w:rsid w:val="00444B1B"/>
    <w:rsid w:val="00444D48"/>
    <w:rsid w:val="00444E22"/>
    <w:rsid w:val="00444E41"/>
    <w:rsid w:val="004456CC"/>
    <w:rsid w:val="004458BE"/>
    <w:rsid w:val="004458C3"/>
    <w:rsid w:val="00445AED"/>
    <w:rsid w:val="00445CEB"/>
    <w:rsid w:val="00445CFE"/>
    <w:rsid w:val="00445E73"/>
    <w:rsid w:val="00446049"/>
    <w:rsid w:val="004460E9"/>
    <w:rsid w:val="004462CF"/>
    <w:rsid w:val="00446C4C"/>
    <w:rsid w:val="0044710D"/>
    <w:rsid w:val="00447138"/>
    <w:rsid w:val="00447545"/>
    <w:rsid w:val="00447570"/>
    <w:rsid w:val="004500AC"/>
    <w:rsid w:val="00450BEE"/>
    <w:rsid w:val="00450F44"/>
    <w:rsid w:val="0045108E"/>
    <w:rsid w:val="0045126F"/>
    <w:rsid w:val="004515D1"/>
    <w:rsid w:val="004516CE"/>
    <w:rsid w:val="00451713"/>
    <w:rsid w:val="00451F6D"/>
    <w:rsid w:val="0045214B"/>
    <w:rsid w:val="004521A4"/>
    <w:rsid w:val="00452563"/>
    <w:rsid w:val="00452783"/>
    <w:rsid w:val="00452F87"/>
    <w:rsid w:val="00454688"/>
    <w:rsid w:val="0045468E"/>
    <w:rsid w:val="0045479A"/>
    <w:rsid w:val="004547E3"/>
    <w:rsid w:val="00454BCE"/>
    <w:rsid w:val="00454D65"/>
    <w:rsid w:val="00454F43"/>
    <w:rsid w:val="00454F7C"/>
    <w:rsid w:val="00455379"/>
    <w:rsid w:val="00455A48"/>
    <w:rsid w:val="00455A62"/>
    <w:rsid w:val="00455C85"/>
    <w:rsid w:val="00456041"/>
    <w:rsid w:val="0045721A"/>
    <w:rsid w:val="004573A6"/>
    <w:rsid w:val="00457573"/>
    <w:rsid w:val="00457C08"/>
    <w:rsid w:val="00457C29"/>
    <w:rsid w:val="00460103"/>
    <w:rsid w:val="0046011B"/>
    <w:rsid w:val="00460207"/>
    <w:rsid w:val="004602BD"/>
    <w:rsid w:val="0046036C"/>
    <w:rsid w:val="00460684"/>
    <w:rsid w:val="00461A79"/>
    <w:rsid w:val="00461B58"/>
    <w:rsid w:val="00461DE3"/>
    <w:rsid w:val="00462389"/>
    <w:rsid w:val="0046245A"/>
    <w:rsid w:val="004625AF"/>
    <w:rsid w:val="00462847"/>
    <w:rsid w:val="00462884"/>
    <w:rsid w:val="00462F59"/>
    <w:rsid w:val="00463131"/>
    <w:rsid w:val="004635E4"/>
    <w:rsid w:val="00463D3B"/>
    <w:rsid w:val="0046409C"/>
    <w:rsid w:val="004640C7"/>
    <w:rsid w:val="0046589C"/>
    <w:rsid w:val="00466387"/>
    <w:rsid w:val="004665DC"/>
    <w:rsid w:val="00466659"/>
    <w:rsid w:val="00466B56"/>
    <w:rsid w:val="00466B69"/>
    <w:rsid w:val="00466CD0"/>
    <w:rsid w:val="00466F05"/>
    <w:rsid w:val="00466F8B"/>
    <w:rsid w:val="004673AC"/>
    <w:rsid w:val="00467A23"/>
    <w:rsid w:val="00467A28"/>
    <w:rsid w:val="00467B4B"/>
    <w:rsid w:val="00470348"/>
    <w:rsid w:val="00470468"/>
    <w:rsid w:val="00470759"/>
    <w:rsid w:val="004707CB"/>
    <w:rsid w:val="004708AA"/>
    <w:rsid w:val="00470F54"/>
    <w:rsid w:val="00471839"/>
    <w:rsid w:val="004722A5"/>
    <w:rsid w:val="0047259E"/>
    <w:rsid w:val="004726D2"/>
    <w:rsid w:val="004727D5"/>
    <w:rsid w:val="00472B40"/>
    <w:rsid w:val="00472C6C"/>
    <w:rsid w:val="00472F0E"/>
    <w:rsid w:val="004734F5"/>
    <w:rsid w:val="004737BA"/>
    <w:rsid w:val="004738F1"/>
    <w:rsid w:val="0047394E"/>
    <w:rsid w:val="00473E1E"/>
    <w:rsid w:val="0047489E"/>
    <w:rsid w:val="004749D6"/>
    <w:rsid w:val="00474BAC"/>
    <w:rsid w:val="004752E9"/>
    <w:rsid w:val="00475A7B"/>
    <w:rsid w:val="00475B8C"/>
    <w:rsid w:val="00476B4C"/>
    <w:rsid w:val="0047788B"/>
    <w:rsid w:val="00480291"/>
    <w:rsid w:val="004806AA"/>
    <w:rsid w:val="00480CBA"/>
    <w:rsid w:val="00480E4A"/>
    <w:rsid w:val="00480F41"/>
    <w:rsid w:val="00481078"/>
    <w:rsid w:val="00481155"/>
    <w:rsid w:val="00481197"/>
    <w:rsid w:val="00481368"/>
    <w:rsid w:val="004815C4"/>
    <w:rsid w:val="0048170E"/>
    <w:rsid w:val="00481909"/>
    <w:rsid w:val="00482210"/>
    <w:rsid w:val="004828CB"/>
    <w:rsid w:val="00482A00"/>
    <w:rsid w:val="00482B5D"/>
    <w:rsid w:val="004833A8"/>
    <w:rsid w:val="00483AD5"/>
    <w:rsid w:val="00483CD7"/>
    <w:rsid w:val="00484CDF"/>
    <w:rsid w:val="00485575"/>
    <w:rsid w:val="004856A8"/>
    <w:rsid w:val="00485B0D"/>
    <w:rsid w:val="00485E56"/>
    <w:rsid w:val="00485EDC"/>
    <w:rsid w:val="00486880"/>
    <w:rsid w:val="00486B8E"/>
    <w:rsid w:val="00486E7C"/>
    <w:rsid w:val="00487730"/>
    <w:rsid w:val="00487C71"/>
    <w:rsid w:val="0049017B"/>
    <w:rsid w:val="00490D28"/>
    <w:rsid w:val="004912D2"/>
    <w:rsid w:val="00491329"/>
    <w:rsid w:val="004913DB"/>
    <w:rsid w:val="004915C3"/>
    <w:rsid w:val="004915FB"/>
    <w:rsid w:val="00491D19"/>
    <w:rsid w:val="00491D95"/>
    <w:rsid w:val="00491E89"/>
    <w:rsid w:val="00492C8E"/>
    <w:rsid w:val="00492F69"/>
    <w:rsid w:val="004930D4"/>
    <w:rsid w:val="004930F1"/>
    <w:rsid w:val="0049313E"/>
    <w:rsid w:val="004938D8"/>
    <w:rsid w:val="004938EA"/>
    <w:rsid w:val="0049398E"/>
    <w:rsid w:val="00493ACB"/>
    <w:rsid w:val="00493B22"/>
    <w:rsid w:val="00493CAD"/>
    <w:rsid w:val="00493F15"/>
    <w:rsid w:val="00493F99"/>
    <w:rsid w:val="004940E5"/>
    <w:rsid w:val="00494221"/>
    <w:rsid w:val="0049484E"/>
    <w:rsid w:val="00494A4A"/>
    <w:rsid w:val="00494D0B"/>
    <w:rsid w:val="00494EFE"/>
    <w:rsid w:val="004958CC"/>
    <w:rsid w:val="0049614D"/>
    <w:rsid w:val="0049672B"/>
    <w:rsid w:val="00497BD4"/>
    <w:rsid w:val="004A0408"/>
    <w:rsid w:val="004A0DFA"/>
    <w:rsid w:val="004A174E"/>
    <w:rsid w:val="004A1868"/>
    <w:rsid w:val="004A2095"/>
    <w:rsid w:val="004A227B"/>
    <w:rsid w:val="004A27EB"/>
    <w:rsid w:val="004A2A5E"/>
    <w:rsid w:val="004A3337"/>
    <w:rsid w:val="004A3398"/>
    <w:rsid w:val="004A35C1"/>
    <w:rsid w:val="004A3F82"/>
    <w:rsid w:val="004A3F91"/>
    <w:rsid w:val="004A402B"/>
    <w:rsid w:val="004A4082"/>
    <w:rsid w:val="004A461F"/>
    <w:rsid w:val="004A4A28"/>
    <w:rsid w:val="004A4F51"/>
    <w:rsid w:val="004A50BD"/>
    <w:rsid w:val="004A5517"/>
    <w:rsid w:val="004A568E"/>
    <w:rsid w:val="004A574E"/>
    <w:rsid w:val="004A593F"/>
    <w:rsid w:val="004A5CB7"/>
    <w:rsid w:val="004A5D9E"/>
    <w:rsid w:val="004A5F55"/>
    <w:rsid w:val="004A6045"/>
    <w:rsid w:val="004A6245"/>
    <w:rsid w:val="004A62EE"/>
    <w:rsid w:val="004A6BC7"/>
    <w:rsid w:val="004A6F0E"/>
    <w:rsid w:val="004A72BC"/>
    <w:rsid w:val="004B01BB"/>
    <w:rsid w:val="004B0282"/>
    <w:rsid w:val="004B04A3"/>
    <w:rsid w:val="004B05B0"/>
    <w:rsid w:val="004B0C9E"/>
    <w:rsid w:val="004B1218"/>
    <w:rsid w:val="004B164A"/>
    <w:rsid w:val="004B1FFF"/>
    <w:rsid w:val="004B229F"/>
    <w:rsid w:val="004B22FA"/>
    <w:rsid w:val="004B29F4"/>
    <w:rsid w:val="004B2E59"/>
    <w:rsid w:val="004B2F04"/>
    <w:rsid w:val="004B32C7"/>
    <w:rsid w:val="004B3D11"/>
    <w:rsid w:val="004B3D3C"/>
    <w:rsid w:val="004B3F02"/>
    <w:rsid w:val="004B3FDB"/>
    <w:rsid w:val="004B519F"/>
    <w:rsid w:val="004B533D"/>
    <w:rsid w:val="004B53C7"/>
    <w:rsid w:val="004B5683"/>
    <w:rsid w:val="004B591C"/>
    <w:rsid w:val="004B5CB4"/>
    <w:rsid w:val="004B63FE"/>
    <w:rsid w:val="004B652F"/>
    <w:rsid w:val="004B6D71"/>
    <w:rsid w:val="004B7225"/>
    <w:rsid w:val="004B760E"/>
    <w:rsid w:val="004B76BA"/>
    <w:rsid w:val="004B7961"/>
    <w:rsid w:val="004B7A65"/>
    <w:rsid w:val="004B7CEB"/>
    <w:rsid w:val="004B7D6D"/>
    <w:rsid w:val="004C08D6"/>
    <w:rsid w:val="004C0998"/>
    <w:rsid w:val="004C11FE"/>
    <w:rsid w:val="004C1821"/>
    <w:rsid w:val="004C188F"/>
    <w:rsid w:val="004C18F3"/>
    <w:rsid w:val="004C1CC8"/>
    <w:rsid w:val="004C21B9"/>
    <w:rsid w:val="004C26EC"/>
    <w:rsid w:val="004C2DD2"/>
    <w:rsid w:val="004C36A8"/>
    <w:rsid w:val="004C3EF1"/>
    <w:rsid w:val="004C41A2"/>
    <w:rsid w:val="004C499B"/>
    <w:rsid w:val="004C4E3F"/>
    <w:rsid w:val="004C55B9"/>
    <w:rsid w:val="004C5615"/>
    <w:rsid w:val="004C6243"/>
    <w:rsid w:val="004C6E6C"/>
    <w:rsid w:val="004C70C9"/>
    <w:rsid w:val="004C71CC"/>
    <w:rsid w:val="004C727C"/>
    <w:rsid w:val="004D01FE"/>
    <w:rsid w:val="004D02A9"/>
    <w:rsid w:val="004D08F2"/>
    <w:rsid w:val="004D19E4"/>
    <w:rsid w:val="004D1B15"/>
    <w:rsid w:val="004D2685"/>
    <w:rsid w:val="004D2712"/>
    <w:rsid w:val="004D299F"/>
    <w:rsid w:val="004D2E7A"/>
    <w:rsid w:val="004D303D"/>
    <w:rsid w:val="004D3655"/>
    <w:rsid w:val="004D3A89"/>
    <w:rsid w:val="004D4372"/>
    <w:rsid w:val="004D45E4"/>
    <w:rsid w:val="004D517A"/>
    <w:rsid w:val="004D5530"/>
    <w:rsid w:val="004D554F"/>
    <w:rsid w:val="004D55CD"/>
    <w:rsid w:val="004D66F4"/>
    <w:rsid w:val="004D6885"/>
    <w:rsid w:val="004D6971"/>
    <w:rsid w:val="004D7445"/>
    <w:rsid w:val="004D752A"/>
    <w:rsid w:val="004D7F04"/>
    <w:rsid w:val="004D7F6C"/>
    <w:rsid w:val="004E0652"/>
    <w:rsid w:val="004E0729"/>
    <w:rsid w:val="004E078A"/>
    <w:rsid w:val="004E07B7"/>
    <w:rsid w:val="004E0DDB"/>
    <w:rsid w:val="004E1110"/>
    <w:rsid w:val="004E1235"/>
    <w:rsid w:val="004E1959"/>
    <w:rsid w:val="004E1977"/>
    <w:rsid w:val="004E1ACE"/>
    <w:rsid w:val="004E1D0C"/>
    <w:rsid w:val="004E277B"/>
    <w:rsid w:val="004E2CAF"/>
    <w:rsid w:val="004E373E"/>
    <w:rsid w:val="004E42F0"/>
    <w:rsid w:val="004E4925"/>
    <w:rsid w:val="004E5323"/>
    <w:rsid w:val="004E5FE2"/>
    <w:rsid w:val="004E6049"/>
    <w:rsid w:val="004E61C4"/>
    <w:rsid w:val="004E724F"/>
    <w:rsid w:val="004E731C"/>
    <w:rsid w:val="004E73FF"/>
    <w:rsid w:val="004E748D"/>
    <w:rsid w:val="004E751C"/>
    <w:rsid w:val="004E7ABF"/>
    <w:rsid w:val="004E7FC0"/>
    <w:rsid w:val="004F0199"/>
    <w:rsid w:val="004F05A8"/>
    <w:rsid w:val="004F085F"/>
    <w:rsid w:val="004F08F5"/>
    <w:rsid w:val="004F0E31"/>
    <w:rsid w:val="004F0E57"/>
    <w:rsid w:val="004F1059"/>
    <w:rsid w:val="004F10F2"/>
    <w:rsid w:val="004F1512"/>
    <w:rsid w:val="004F1623"/>
    <w:rsid w:val="004F29F8"/>
    <w:rsid w:val="004F2F67"/>
    <w:rsid w:val="004F33B0"/>
    <w:rsid w:val="004F3493"/>
    <w:rsid w:val="004F3B9B"/>
    <w:rsid w:val="004F3C71"/>
    <w:rsid w:val="004F4DD4"/>
    <w:rsid w:val="004F5830"/>
    <w:rsid w:val="004F6117"/>
    <w:rsid w:val="004F6428"/>
    <w:rsid w:val="004F6715"/>
    <w:rsid w:val="004F6974"/>
    <w:rsid w:val="004F6ED9"/>
    <w:rsid w:val="004F7CE1"/>
    <w:rsid w:val="0050039B"/>
    <w:rsid w:val="00501023"/>
    <w:rsid w:val="0050136B"/>
    <w:rsid w:val="00501A3E"/>
    <w:rsid w:val="00501FB5"/>
    <w:rsid w:val="00502250"/>
    <w:rsid w:val="0050298F"/>
    <w:rsid w:val="00502A97"/>
    <w:rsid w:val="00502C9F"/>
    <w:rsid w:val="00503000"/>
    <w:rsid w:val="00503CC1"/>
    <w:rsid w:val="00503F39"/>
    <w:rsid w:val="00503FC2"/>
    <w:rsid w:val="0050404C"/>
    <w:rsid w:val="00504053"/>
    <w:rsid w:val="005041BF"/>
    <w:rsid w:val="0050446B"/>
    <w:rsid w:val="00504555"/>
    <w:rsid w:val="00504AAF"/>
    <w:rsid w:val="005051D8"/>
    <w:rsid w:val="005056EB"/>
    <w:rsid w:val="00505A18"/>
    <w:rsid w:val="00505A94"/>
    <w:rsid w:val="00505B23"/>
    <w:rsid w:val="00505F80"/>
    <w:rsid w:val="00506205"/>
    <w:rsid w:val="00506E4B"/>
    <w:rsid w:val="00506E75"/>
    <w:rsid w:val="00507039"/>
    <w:rsid w:val="00507F9A"/>
    <w:rsid w:val="00510145"/>
    <w:rsid w:val="00510849"/>
    <w:rsid w:val="00510CDE"/>
    <w:rsid w:val="005110EC"/>
    <w:rsid w:val="00511AB8"/>
    <w:rsid w:val="00511CE3"/>
    <w:rsid w:val="0051249C"/>
    <w:rsid w:val="00512CC4"/>
    <w:rsid w:val="00513437"/>
    <w:rsid w:val="005135AF"/>
    <w:rsid w:val="00513970"/>
    <w:rsid w:val="00513BE9"/>
    <w:rsid w:val="0051416E"/>
    <w:rsid w:val="005148D7"/>
    <w:rsid w:val="00514F35"/>
    <w:rsid w:val="00515447"/>
    <w:rsid w:val="0051560B"/>
    <w:rsid w:val="00515680"/>
    <w:rsid w:val="005156EB"/>
    <w:rsid w:val="00515B93"/>
    <w:rsid w:val="00515DE9"/>
    <w:rsid w:val="0051608B"/>
    <w:rsid w:val="0051626F"/>
    <w:rsid w:val="00516A67"/>
    <w:rsid w:val="00516EC0"/>
    <w:rsid w:val="00517455"/>
    <w:rsid w:val="005174A7"/>
    <w:rsid w:val="005177DA"/>
    <w:rsid w:val="00517850"/>
    <w:rsid w:val="00517EE2"/>
    <w:rsid w:val="005200B4"/>
    <w:rsid w:val="005204EE"/>
    <w:rsid w:val="00520912"/>
    <w:rsid w:val="00520BE0"/>
    <w:rsid w:val="00520C38"/>
    <w:rsid w:val="00521445"/>
    <w:rsid w:val="00521536"/>
    <w:rsid w:val="005215C8"/>
    <w:rsid w:val="00521B4C"/>
    <w:rsid w:val="00521C81"/>
    <w:rsid w:val="00521D59"/>
    <w:rsid w:val="00521E54"/>
    <w:rsid w:val="00521F84"/>
    <w:rsid w:val="00522297"/>
    <w:rsid w:val="005227D1"/>
    <w:rsid w:val="00522DBF"/>
    <w:rsid w:val="005231DC"/>
    <w:rsid w:val="00523338"/>
    <w:rsid w:val="00523608"/>
    <w:rsid w:val="00523D1F"/>
    <w:rsid w:val="0052403B"/>
    <w:rsid w:val="00524780"/>
    <w:rsid w:val="0052480E"/>
    <w:rsid w:val="00524C73"/>
    <w:rsid w:val="00524F44"/>
    <w:rsid w:val="00525136"/>
    <w:rsid w:val="0052564B"/>
    <w:rsid w:val="0052586C"/>
    <w:rsid w:val="00525C20"/>
    <w:rsid w:val="00525E72"/>
    <w:rsid w:val="00525EBB"/>
    <w:rsid w:val="00525EF0"/>
    <w:rsid w:val="00526796"/>
    <w:rsid w:val="00526B9B"/>
    <w:rsid w:val="00526D49"/>
    <w:rsid w:val="0052707F"/>
    <w:rsid w:val="0052773C"/>
    <w:rsid w:val="00527C02"/>
    <w:rsid w:val="00527DA6"/>
    <w:rsid w:val="00530583"/>
    <w:rsid w:val="005309F5"/>
    <w:rsid w:val="00530C19"/>
    <w:rsid w:val="00530C73"/>
    <w:rsid w:val="005315BB"/>
    <w:rsid w:val="00531609"/>
    <w:rsid w:val="00531A41"/>
    <w:rsid w:val="00531F61"/>
    <w:rsid w:val="005323AD"/>
    <w:rsid w:val="0053272F"/>
    <w:rsid w:val="00532F3E"/>
    <w:rsid w:val="00533370"/>
    <w:rsid w:val="0053378C"/>
    <w:rsid w:val="005339D4"/>
    <w:rsid w:val="00535AAC"/>
    <w:rsid w:val="005360D6"/>
    <w:rsid w:val="005362D0"/>
    <w:rsid w:val="00536306"/>
    <w:rsid w:val="005363DC"/>
    <w:rsid w:val="00536DCD"/>
    <w:rsid w:val="0053704D"/>
    <w:rsid w:val="005372CF"/>
    <w:rsid w:val="0053766A"/>
    <w:rsid w:val="005377A9"/>
    <w:rsid w:val="00540128"/>
    <w:rsid w:val="00540C8A"/>
    <w:rsid w:val="005410B8"/>
    <w:rsid w:val="00541436"/>
    <w:rsid w:val="005416B5"/>
    <w:rsid w:val="00541724"/>
    <w:rsid w:val="00541C59"/>
    <w:rsid w:val="00541E39"/>
    <w:rsid w:val="00541E8F"/>
    <w:rsid w:val="0054210A"/>
    <w:rsid w:val="00542808"/>
    <w:rsid w:val="00544067"/>
    <w:rsid w:val="0054423D"/>
    <w:rsid w:val="00544377"/>
    <w:rsid w:val="005448A8"/>
    <w:rsid w:val="00545264"/>
    <w:rsid w:val="005456F9"/>
    <w:rsid w:val="005457E4"/>
    <w:rsid w:val="00545830"/>
    <w:rsid w:val="00545AEE"/>
    <w:rsid w:val="00546398"/>
    <w:rsid w:val="00546ECD"/>
    <w:rsid w:val="00546ED2"/>
    <w:rsid w:val="005471B1"/>
    <w:rsid w:val="00547219"/>
    <w:rsid w:val="005472B2"/>
    <w:rsid w:val="00547A5B"/>
    <w:rsid w:val="00547CD5"/>
    <w:rsid w:val="00547E09"/>
    <w:rsid w:val="00547EEB"/>
    <w:rsid w:val="005500B5"/>
    <w:rsid w:val="00550672"/>
    <w:rsid w:val="00550A3C"/>
    <w:rsid w:val="00550CB7"/>
    <w:rsid w:val="00550D41"/>
    <w:rsid w:val="00551C39"/>
    <w:rsid w:val="00551FA8"/>
    <w:rsid w:val="00552230"/>
    <w:rsid w:val="0055239B"/>
    <w:rsid w:val="00552512"/>
    <w:rsid w:val="0055261E"/>
    <w:rsid w:val="0055284D"/>
    <w:rsid w:val="00552B86"/>
    <w:rsid w:val="00552C57"/>
    <w:rsid w:val="00552D9F"/>
    <w:rsid w:val="00552F81"/>
    <w:rsid w:val="00552FCF"/>
    <w:rsid w:val="00553056"/>
    <w:rsid w:val="00553174"/>
    <w:rsid w:val="0055378B"/>
    <w:rsid w:val="00553982"/>
    <w:rsid w:val="00553BCF"/>
    <w:rsid w:val="00553F8F"/>
    <w:rsid w:val="00554111"/>
    <w:rsid w:val="005549CB"/>
    <w:rsid w:val="005550F6"/>
    <w:rsid w:val="005556AA"/>
    <w:rsid w:val="00556B21"/>
    <w:rsid w:val="005571C0"/>
    <w:rsid w:val="00557745"/>
    <w:rsid w:val="00557A43"/>
    <w:rsid w:val="00560531"/>
    <w:rsid w:val="00560591"/>
    <w:rsid w:val="00560714"/>
    <w:rsid w:val="00560907"/>
    <w:rsid w:val="00560C9D"/>
    <w:rsid w:val="00560E4A"/>
    <w:rsid w:val="00561004"/>
    <w:rsid w:val="005614CA"/>
    <w:rsid w:val="005614F0"/>
    <w:rsid w:val="0056181E"/>
    <w:rsid w:val="0056186C"/>
    <w:rsid w:val="00561BD7"/>
    <w:rsid w:val="0056223E"/>
    <w:rsid w:val="00562892"/>
    <w:rsid w:val="00562AD3"/>
    <w:rsid w:val="00562BEB"/>
    <w:rsid w:val="00562DC5"/>
    <w:rsid w:val="00563069"/>
    <w:rsid w:val="0056306A"/>
    <w:rsid w:val="00563786"/>
    <w:rsid w:val="005638B6"/>
    <w:rsid w:val="005638FF"/>
    <w:rsid w:val="005640EE"/>
    <w:rsid w:val="0056432F"/>
    <w:rsid w:val="005658CC"/>
    <w:rsid w:val="005658F0"/>
    <w:rsid w:val="00565A7B"/>
    <w:rsid w:val="0056626F"/>
    <w:rsid w:val="00566B17"/>
    <w:rsid w:val="00566D50"/>
    <w:rsid w:val="0056701B"/>
    <w:rsid w:val="00567283"/>
    <w:rsid w:val="0056732C"/>
    <w:rsid w:val="0056744B"/>
    <w:rsid w:val="005701A5"/>
    <w:rsid w:val="0057024A"/>
    <w:rsid w:val="00570251"/>
    <w:rsid w:val="005705B8"/>
    <w:rsid w:val="00570724"/>
    <w:rsid w:val="0057086F"/>
    <w:rsid w:val="00570A54"/>
    <w:rsid w:val="00570C60"/>
    <w:rsid w:val="00570DE6"/>
    <w:rsid w:val="00571261"/>
    <w:rsid w:val="00571645"/>
    <w:rsid w:val="00571819"/>
    <w:rsid w:val="00571E9C"/>
    <w:rsid w:val="005724A3"/>
    <w:rsid w:val="00572BEC"/>
    <w:rsid w:val="005731B6"/>
    <w:rsid w:val="00573469"/>
    <w:rsid w:val="0057346D"/>
    <w:rsid w:val="00573552"/>
    <w:rsid w:val="005738D4"/>
    <w:rsid w:val="00573D96"/>
    <w:rsid w:val="0057424B"/>
    <w:rsid w:val="005749B4"/>
    <w:rsid w:val="00574E34"/>
    <w:rsid w:val="00574FBD"/>
    <w:rsid w:val="00575A83"/>
    <w:rsid w:val="005767D3"/>
    <w:rsid w:val="00576BF7"/>
    <w:rsid w:val="00576CEB"/>
    <w:rsid w:val="005774D8"/>
    <w:rsid w:val="00577B86"/>
    <w:rsid w:val="00577D01"/>
    <w:rsid w:val="00577EF9"/>
    <w:rsid w:val="00577F44"/>
    <w:rsid w:val="00580703"/>
    <w:rsid w:val="00580D8A"/>
    <w:rsid w:val="00580DEE"/>
    <w:rsid w:val="005817DE"/>
    <w:rsid w:val="00581E54"/>
    <w:rsid w:val="0058246F"/>
    <w:rsid w:val="00582DC1"/>
    <w:rsid w:val="00582F54"/>
    <w:rsid w:val="005835FE"/>
    <w:rsid w:val="00583757"/>
    <w:rsid w:val="0058388C"/>
    <w:rsid w:val="005838C7"/>
    <w:rsid w:val="00583955"/>
    <w:rsid w:val="00583E79"/>
    <w:rsid w:val="00585554"/>
    <w:rsid w:val="005857E9"/>
    <w:rsid w:val="0058649A"/>
    <w:rsid w:val="005868A5"/>
    <w:rsid w:val="00586FFD"/>
    <w:rsid w:val="0058784D"/>
    <w:rsid w:val="00590725"/>
    <w:rsid w:val="0059084C"/>
    <w:rsid w:val="005909AE"/>
    <w:rsid w:val="00590A3E"/>
    <w:rsid w:val="00590BC8"/>
    <w:rsid w:val="00590D78"/>
    <w:rsid w:val="005916A4"/>
    <w:rsid w:val="00591B24"/>
    <w:rsid w:val="00591B77"/>
    <w:rsid w:val="0059223B"/>
    <w:rsid w:val="0059259D"/>
    <w:rsid w:val="00592900"/>
    <w:rsid w:val="00592B86"/>
    <w:rsid w:val="00593D1D"/>
    <w:rsid w:val="00594048"/>
    <w:rsid w:val="00594136"/>
    <w:rsid w:val="00594665"/>
    <w:rsid w:val="00594FC9"/>
    <w:rsid w:val="005950B3"/>
    <w:rsid w:val="0059575C"/>
    <w:rsid w:val="00595A32"/>
    <w:rsid w:val="00595B04"/>
    <w:rsid w:val="00595B97"/>
    <w:rsid w:val="00596528"/>
    <w:rsid w:val="0059670C"/>
    <w:rsid w:val="005968AC"/>
    <w:rsid w:val="00596EFE"/>
    <w:rsid w:val="005972BF"/>
    <w:rsid w:val="0059785D"/>
    <w:rsid w:val="00597A66"/>
    <w:rsid w:val="00597A87"/>
    <w:rsid w:val="00597E36"/>
    <w:rsid w:val="00597EA2"/>
    <w:rsid w:val="00597EB7"/>
    <w:rsid w:val="00597EF5"/>
    <w:rsid w:val="00597F1E"/>
    <w:rsid w:val="00597F6B"/>
    <w:rsid w:val="00597FF5"/>
    <w:rsid w:val="005A021F"/>
    <w:rsid w:val="005A06EA"/>
    <w:rsid w:val="005A0ACE"/>
    <w:rsid w:val="005A0AF9"/>
    <w:rsid w:val="005A0B3B"/>
    <w:rsid w:val="005A0B94"/>
    <w:rsid w:val="005A1031"/>
    <w:rsid w:val="005A12D5"/>
    <w:rsid w:val="005A13F3"/>
    <w:rsid w:val="005A1BA7"/>
    <w:rsid w:val="005A1CCB"/>
    <w:rsid w:val="005A206D"/>
    <w:rsid w:val="005A20C7"/>
    <w:rsid w:val="005A2300"/>
    <w:rsid w:val="005A2A17"/>
    <w:rsid w:val="005A2B58"/>
    <w:rsid w:val="005A3008"/>
    <w:rsid w:val="005A30D9"/>
    <w:rsid w:val="005A37EE"/>
    <w:rsid w:val="005A3843"/>
    <w:rsid w:val="005A45CD"/>
    <w:rsid w:val="005A4ED4"/>
    <w:rsid w:val="005A50A4"/>
    <w:rsid w:val="005A50D4"/>
    <w:rsid w:val="005A5AB3"/>
    <w:rsid w:val="005A5F72"/>
    <w:rsid w:val="005A65E9"/>
    <w:rsid w:val="005A7C44"/>
    <w:rsid w:val="005B038D"/>
    <w:rsid w:val="005B07AC"/>
    <w:rsid w:val="005B09C6"/>
    <w:rsid w:val="005B1429"/>
    <w:rsid w:val="005B1747"/>
    <w:rsid w:val="005B1D78"/>
    <w:rsid w:val="005B2491"/>
    <w:rsid w:val="005B24F9"/>
    <w:rsid w:val="005B2AFD"/>
    <w:rsid w:val="005B4081"/>
    <w:rsid w:val="005B44D6"/>
    <w:rsid w:val="005B476F"/>
    <w:rsid w:val="005B4C7B"/>
    <w:rsid w:val="005B4FEF"/>
    <w:rsid w:val="005B567E"/>
    <w:rsid w:val="005B5B2F"/>
    <w:rsid w:val="005B5DAA"/>
    <w:rsid w:val="005B5F4A"/>
    <w:rsid w:val="005B5F91"/>
    <w:rsid w:val="005B61F4"/>
    <w:rsid w:val="005B68D2"/>
    <w:rsid w:val="005B6944"/>
    <w:rsid w:val="005B7090"/>
    <w:rsid w:val="005B70CC"/>
    <w:rsid w:val="005B71BC"/>
    <w:rsid w:val="005B763B"/>
    <w:rsid w:val="005B7658"/>
    <w:rsid w:val="005B7675"/>
    <w:rsid w:val="005B76B5"/>
    <w:rsid w:val="005B76D5"/>
    <w:rsid w:val="005B7AE2"/>
    <w:rsid w:val="005B7E9C"/>
    <w:rsid w:val="005B7F98"/>
    <w:rsid w:val="005C0592"/>
    <w:rsid w:val="005C0DA1"/>
    <w:rsid w:val="005C11AC"/>
    <w:rsid w:val="005C1349"/>
    <w:rsid w:val="005C1424"/>
    <w:rsid w:val="005C1496"/>
    <w:rsid w:val="005C150E"/>
    <w:rsid w:val="005C175A"/>
    <w:rsid w:val="005C184E"/>
    <w:rsid w:val="005C1C09"/>
    <w:rsid w:val="005C2032"/>
    <w:rsid w:val="005C2873"/>
    <w:rsid w:val="005C2B42"/>
    <w:rsid w:val="005C3414"/>
    <w:rsid w:val="005C3650"/>
    <w:rsid w:val="005C3737"/>
    <w:rsid w:val="005C389E"/>
    <w:rsid w:val="005C38C5"/>
    <w:rsid w:val="005C3980"/>
    <w:rsid w:val="005C39A9"/>
    <w:rsid w:val="005C436A"/>
    <w:rsid w:val="005C46CB"/>
    <w:rsid w:val="005C490F"/>
    <w:rsid w:val="005C4D7A"/>
    <w:rsid w:val="005C5A16"/>
    <w:rsid w:val="005C5F82"/>
    <w:rsid w:val="005C60AA"/>
    <w:rsid w:val="005C60E0"/>
    <w:rsid w:val="005C78CB"/>
    <w:rsid w:val="005C7A4D"/>
    <w:rsid w:val="005C7BA4"/>
    <w:rsid w:val="005D03C8"/>
    <w:rsid w:val="005D03CF"/>
    <w:rsid w:val="005D0545"/>
    <w:rsid w:val="005D055F"/>
    <w:rsid w:val="005D0932"/>
    <w:rsid w:val="005D0C0E"/>
    <w:rsid w:val="005D0C79"/>
    <w:rsid w:val="005D0D14"/>
    <w:rsid w:val="005D0EEE"/>
    <w:rsid w:val="005D12D7"/>
    <w:rsid w:val="005D163E"/>
    <w:rsid w:val="005D198E"/>
    <w:rsid w:val="005D2840"/>
    <w:rsid w:val="005D2932"/>
    <w:rsid w:val="005D29BF"/>
    <w:rsid w:val="005D2F8B"/>
    <w:rsid w:val="005D3222"/>
    <w:rsid w:val="005D3591"/>
    <w:rsid w:val="005D3A22"/>
    <w:rsid w:val="005D3E7A"/>
    <w:rsid w:val="005D4057"/>
    <w:rsid w:val="005D4170"/>
    <w:rsid w:val="005D43A2"/>
    <w:rsid w:val="005D44E9"/>
    <w:rsid w:val="005D47B7"/>
    <w:rsid w:val="005D4A8A"/>
    <w:rsid w:val="005D54D1"/>
    <w:rsid w:val="005D5C2A"/>
    <w:rsid w:val="005D6155"/>
    <w:rsid w:val="005D6D3E"/>
    <w:rsid w:val="005D73BD"/>
    <w:rsid w:val="005D74D3"/>
    <w:rsid w:val="005D7967"/>
    <w:rsid w:val="005D7D61"/>
    <w:rsid w:val="005D7EB5"/>
    <w:rsid w:val="005D7ED5"/>
    <w:rsid w:val="005E0C82"/>
    <w:rsid w:val="005E1000"/>
    <w:rsid w:val="005E13D6"/>
    <w:rsid w:val="005E165A"/>
    <w:rsid w:val="005E1B1A"/>
    <w:rsid w:val="005E1DAF"/>
    <w:rsid w:val="005E1F84"/>
    <w:rsid w:val="005E2491"/>
    <w:rsid w:val="005E2C34"/>
    <w:rsid w:val="005E32CB"/>
    <w:rsid w:val="005E356E"/>
    <w:rsid w:val="005E357B"/>
    <w:rsid w:val="005E3795"/>
    <w:rsid w:val="005E3797"/>
    <w:rsid w:val="005E3D99"/>
    <w:rsid w:val="005E4061"/>
    <w:rsid w:val="005E448B"/>
    <w:rsid w:val="005E5591"/>
    <w:rsid w:val="005E5864"/>
    <w:rsid w:val="005E5D18"/>
    <w:rsid w:val="005E5EEE"/>
    <w:rsid w:val="005E6C46"/>
    <w:rsid w:val="005E6F37"/>
    <w:rsid w:val="005E7700"/>
    <w:rsid w:val="005F00C6"/>
    <w:rsid w:val="005F028F"/>
    <w:rsid w:val="005F0412"/>
    <w:rsid w:val="005F04E7"/>
    <w:rsid w:val="005F08E3"/>
    <w:rsid w:val="005F0BBC"/>
    <w:rsid w:val="005F0CD4"/>
    <w:rsid w:val="005F1141"/>
    <w:rsid w:val="005F1A76"/>
    <w:rsid w:val="005F1BB4"/>
    <w:rsid w:val="005F1D91"/>
    <w:rsid w:val="005F1F58"/>
    <w:rsid w:val="005F226F"/>
    <w:rsid w:val="005F23E8"/>
    <w:rsid w:val="005F23F4"/>
    <w:rsid w:val="005F2F1C"/>
    <w:rsid w:val="005F2F64"/>
    <w:rsid w:val="005F339B"/>
    <w:rsid w:val="005F3D04"/>
    <w:rsid w:val="005F408C"/>
    <w:rsid w:val="005F4467"/>
    <w:rsid w:val="005F45B2"/>
    <w:rsid w:val="005F478B"/>
    <w:rsid w:val="005F4E59"/>
    <w:rsid w:val="005F526F"/>
    <w:rsid w:val="005F5D6F"/>
    <w:rsid w:val="005F61F1"/>
    <w:rsid w:val="005F685E"/>
    <w:rsid w:val="005F733B"/>
    <w:rsid w:val="005F7576"/>
    <w:rsid w:val="005F7D2B"/>
    <w:rsid w:val="005F7D42"/>
    <w:rsid w:val="006007C1"/>
    <w:rsid w:val="006008AB"/>
    <w:rsid w:val="006009F0"/>
    <w:rsid w:val="00600D8A"/>
    <w:rsid w:val="006011D6"/>
    <w:rsid w:val="006012B0"/>
    <w:rsid w:val="006013DD"/>
    <w:rsid w:val="0060158C"/>
    <w:rsid w:val="006016C8"/>
    <w:rsid w:val="00601ACE"/>
    <w:rsid w:val="00601D35"/>
    <w:rsid w:val="0060206A"/>
    <w:rsid w:val="00603986"/>
    <w:rsid w:val="00603C73"/>
    <w:rsid w:val="006048BF"/>
    <w:rsid w:val="00604C2A"/>
    <w:rsid w:val="00604DD6"/>
    <w:rsid w:val="0060543F"/>
    <w:rsid w:val="00605507"/>
    <w:rsid w:val="00605AD2"/>
    <w:rsid w:val="00605D84"/>
    <w:rsid w:val="0060656F"/>
    <w:rsid w:val="006067B7"/>
    <w:rsid w:val="00606D68"/>
    <w:rsid w:val="00607927"/>
    <w:rsid w:val="00607A34"/>
    <w:rsid w:val="00607B22"/>
    <w:rsid w:val="00607DA9"/>
    <w:rsid w:val="0061008E"/>
    <w:rsid w:val="00610395"/>
    <w:rsid w:val="006123FB"/>
    <w:rsid w:val="006124BB"/>
    <w:rsid w:val="006128CE"/>
    <w:rsid w:val="006136E6"/>
    <w:rsid w:val="00613B8D"/>
    <w:rsid w:val="00613DFC"/>
    <w:rsid w:val="00613E3B"/>
    <w:rsid w:val="0061407B"/>
    <w:rsid w:val="006140F2"/>
    <w:rsid w:val="00614BA7"/>
    <w:rsid w:val="00614F85"/>
    <w:rsid w:val="00615596"/>
    <w:rsid w:val="00616126"/>
    <w:rsid w:val="00617250"/>
    <w:rsid w:val="006174E6"/>
    <w:rsid w:val="0061757F"/>
    <w:rsid w:val="006176E4"/>
    <w:rsid w:val="00617736"/>
    <w:rsid w:val="00617A28"/>
    <w:rsid w:val="00617B51"/>
    <w:rsid w:val="00617E16"/>
    <w:rsid w:val="00620188"/>
    <w:rsid w:val="006203AD"/>
    <w:rsid w:val="0062076D"/>
    <w:rsid w:val="00620966"/>
    <w:rsid w:val="00620C21"/>
    <w:rsid w:val="00620F04"/>
    <w:rsid w:val="00621044"/>
    <w:rsid w:val="0062193B"/>
    <w:rsid w:val="00622609"/>
    <w:rsid w:val="006234E7"/>
    <w:rsid w:val="0062392B"/>
    <w:rsid w:val="0062427E"/>
    <w:rsid w:val="0062443D"/>
    <w:rsid w:val="0062448E"/>
    <w:rsid w:val="00624A3C"/>
    <w:rsid w:val="00625041"/>
    <w:rsid w:val="0062537F"/>
    <w:rsid w:val="00625B5D"/>
    <w:rsid w:val="00625D87"/>
    <w:rsid w:val="00626A42"/>
    <w:rsid w:val="00627357"/>
    <w:rsid w:val="0062758E"/>
    <w:rsid w:val="00627739"/>
    <w:rsid w:val="00627C4A"/>
    <w:rsid w:val="006306F7"/>
    <w:rsid w:val="006308BB"/>
    <w:rsid w:val="00630B47"/>
    <w:rsid w:val="00630C1D"/>
    <w:rsid w:val="00630CB3"/>
    <w:rsid w:val="00630D8C"/>
    <w:rsid w:val="006313C7"/>
    <w:rsid w:val="00631455"/>
    <w:rsid w:val="00631D3B"/>
    <w:rsid w:val="0063209B"/>
    <w:rsid w:val="00632442"/>
    <w:rsid w:val="00632700"/>
    <w:rsid w:val="00632796"/>
    <w:rsid w:val="00632B6E"/>
    <w:rsid w:val="00632DC0"/>
    <w:rsid w:val="0063323D"/>
    <w:rsid w:val="006332A4"/>
    <w:rsid w:val="0063338E"/>
    <w:rsid w:val="006333E2"/>
    <w:rsid w:val="00634612"/>
    <w:rsid w:val="00634849"/>
    <w:rsid w:val="00634C74"/>
    <w:rsid w:val="0063524C"/>
    <w:rsid w:val="00635B8A"/>
    <w:rsid w:val="00635FB9"/>
    <w:rsid w:val="00636B94"/>
    <w:rsid w:val="00636D1D"/>
    <w:rsid w:val="00637906"/>
    <w:rsid w:val="00637C53"/>
    <w:rsid w:val="00637E6E"/>
    <w:rsid w:val="006401B2"/>
    <w:rsid w:val="006403C6"/>
    <w:rsid w:val="006405C0"/>
    <w:rsid w:val="006406E1"/>
    <w:rsid w:val="00640BBF"/>
    <w:rsid w:val="00640C54"/>
    <w:rsid w:val="00640F57"/>
    <w:rsid w:val="00640FC8"/>
    <w:rsid w:val="00641629"/>
    <w:rsid w:val="006419E5"/>
    <w:rsid w:val="00642003"/>
    <w:rsid w:val="006425A4"/>
    <w:rsid w:val="006425EC"/>
    <w:rsid w:val="00642BA4"/>
    <w:rsid w:val="00642E23"/>
    <w:rsid w:val="0064378C"/>
    <w:rsid w:val="00643BCB"/>
    <w:rsid w:val="00643EFF"/>
    <w:rsid w:val="006444EA"/>
    <w:rsid w:val="00644C2F"/>
    <w:rsid w:val="00644D35"/>
    <w:rsid w:val="00645957"/>
    <w:rsid w:val="0064674C"/>
    <w:rsid w:val="00646A8B"/>
    <w:rsid w:val="00646CAD"/>
    <w:rsid w:val="00647972"/>
    <w:rsid w:val="00650024"/>
    <w:rsid w:val="00650BD8"/>
    <w:rsid w:val="00650D90"/>
    <w:rsid w:val="00650E68"/>
    <w:rsid w:val="006516DA"/>
    <w:rsid w:val="006518D9"/>
    <w:rsid w:val="00651C17"/>
    <w:rsid w:val="00651EE1"/>
    <w:rsid w:val="006521A4"/>
    <w:rsid w:val="0065222C"/>
    <w:rsid w:val="0065239B"/>
    <w:rsid w:val="0065296A"/>
    <w:rsid w:val="00652989"/>
    <w:rsid w:val="00652F97"/>
    <w:rsid w:val="006538F8"/>
    <w:rsid w:val="00654221"/>
    <w:rsid w:val="006542DA"/>
    <w:rsid w:val="00654723"/>
    <w:rsid w:val="00654D2D"/>
    <w:rsid w:val="00655381"/>
    <w:rsid w:val="00655AFF"/>
    <w:rsid w:val="00655F48"/>
    <w:rsid w:val="006560E2"/>
    <w:rsid w:val="00656104"/>
    <w:rsid w:val="006564C7"/>
    <w:rsid w:val="0065674E"/>
    <w:rsid w:val="00656B37"/>
    <w:rsid w:val="006574F6"/>
    <w:rsid w:val="0065793A"/>
    <w:rsid w:val="00661314"/>
    <w:rsid w:val="00661485"/>
    <w:rsid w:val="00661B76"/>
    <w:rsid w:val="00661FFD"/>
    <w:rsid w:val="00662AFA"/>
    <w:rsid w:val="00662D0C"/>
    <w:rsid w:val="00662ECE"/>
    <w:rsid w:val="00663092"/>
    <w:rsid w:val="00663839"/>
    <w:rsid w:val="00663A3F"/>
    <w:rsid w:val="00663B61"/>
    <w:rsid w:val="00663F2E"/>
    <w:rsid w:val="006643EF"/>
    <w:rsid w:val="00664484"/>
    <w:rsid w:val="006644D1"/>
    <w:rsid w:val="0066452D"/>
    <w:rsid w:val="006645A0"/>
    <w:rsid w:val="006645EC"/>
    <w:rsid w:val="0066468C"/>
    <w:rsid w:val="006646FE"/>
    <w:rsid w:val="00664F3B"/>
    <w:rsid w:val="006657F6"/>
    <w:rsid w:val="006658F8"/>
    <w:rsid w:val="00665CBA"/>
    <w:rsid w:val="00665D7C"/>
    <w:rsid w:val="00665EB6"/>
    <w:rsid w:val="006662E5"/>
    <w:rsid w:val="0066683F"/>
    <w:rsid w:val="00666999"/>
    <w:rsid w:val="00666B96"/>
    <w:rsid w:val="00667094"/>
    <w:rsid w:val="00667BD7"/>
    <w:rsid w:val="00667C8D"/>
    <w:rsid w:val="00667F5D"/>
    <w:rsid w:val="0067014C"/>
    <w:rsid w:val="006707C4"/>
    <w:rsid w:val="006707DC"/>
    <w:rsid w:val="00670BC9"/>
    <w:rsid w:val="00671279"/>
    <w:rsid w:val="00671513"/>
    <w:rsid w:val="0067230D"/>
    <w:rsid w:val="00672AF6"/>
    <w:rsid w:val="00672C26"/>
    <w:rsid w:val="0067352D"/>
    <w:rsid w:val="0067362E"/>
    <w:rsid w:val="00673C43"/>
    <w:rsid w:val="00673CFF"/>
    <w:rsid w:val="006745DB"/>
    <w:rsid w:val="006746C5"/>
    <w:rsid w:val="00674A79"/>
    <w:rsid w:val="00674E10"/>
    <w:rsid w:val="0067531E"/>
    <w:rsid w:val="00675920"/>
    <w:rsid w:val="00675D4B"/>
    <w:rsid w:val="0067637C"/>
    <w:rsid w:val="00676435"/>
    <w:rsid w:val="0067656C"/>
    <w:rsid w:val="00676731"/>
    <w:rsid w:val="0067684B"/>
    <w:rsid w:val="00676850"/>
    <w:rsid w:val="00676D84"/>
    <w:rsid w:val="00677478"/>
    <w:rsid w:val="0068023A"/>
    <w:rsid w:val="00680567"/>
    <w:rsid w:val="00680F70"/>
    <w:rsid w:val="006811DB"/>
    <w:rsid w:val="006812C5"/>
    <w:rsid w:val="0068134C"/>
    <w:rsid w:val="00681402"/>
    <w:rsid w:val="00681419"/>
    <w:rsid w:val="006820D0"/>
    <w:rsid w:val="0068281C"/>
    <w:rsid w:val="0068342D"/>
    <w:rsid w:val="0068439D"/>
    <w:rsid w:val="0068448A"/>
    <w:rsid w:val="00684770"/>
    <w:rsid w:val="0068488E"/>
    <w:rsid w:val="00684ADC"/>
    <w:rsid w:val="0068567A"/>
    <w:rsid w:val="0068579C"/>
    <w:rsid w:val="00685B2E"/>
    <w:rsid w:val="00685B7C"/>
    <w:rsid w:val="00686372"/>
    <w:rsid w:val="00686B68"/>
    <w:rsid w:val="00686DAB"/>
    <w:rsid w:val="00686DD0"/>
    <w:rsid w:val="0068710A"/>
    <w:rsid w:val="00687586"/>
    <w:rsid w:val="00687940"/>
    <w:rsid w:val="006879E3"/>
    <w:rsid w:val="00690121"/>
    <w:rsid w:val="00690760"/>
    <w:rsid w:val="00690863"/>
    <w:rsid w:val="006938C0"/>
    <w:rsid w:val="00693E41"/>
    <w:rsid w:val="00693F73"/>
    <w:rsid w:val="0069407B"/>
    <w:rsid w:val="00694ABB"/>
    <w:rsid w:val="00695101"/>
    <w:rsid w:val="00695121"/>
    <w:rsid w:val="00695486"/>
    <w:rsid w:val="006954FF"/>
    <w:rsid w:val="006956A7"/>
    <w:rsid w:val="00695B3E"/>
    <w:rsid w:val="006962E8"/>
    <w:rsid w:val="0069633F"/>
    <w:rsid w:val="00696927"/>
    <w:rsid w:val="00696A51"/>
    <w:rsid w:val="006972DD"/>
    <w:rsid w:val="00697AA7"/>
    <w:rsid w:val="00697ABA"/>
    <w:rsid w:val="00697C4B"/>
    <w:rsid w:val="00697D04"/>
    <w:rsid w:val="006A0007"/>
    <w:rsid w:val="006A03A0"/>
    <w:rsid w:val="006A03AE"/>
    <w:rsid w:val="006A0ADC"/>
    <w:rsid w:val="006A0C61"/>
    <w:rsid w:val="006A0FEA"/>
    <w:rsid w:val="006A10B8"/>
    <w:rsid w:val="006A1247"/>
    <w:rsid w:val="006A1F0E"/>
    <w:rsid w:val="006A22B2"/>
    <w:rsid w:val="006A2797"/>
    <w:rsid w:val="006A2F9F"/>
    <w:rsid w:val="006A3200"/>
    <w:rsid w:val="006A3254"/>
    <w:rsid w:val="006A335C"/>
    <w:rsid w:val="006A396D"/>
    <w:rsid w:val="006A3D68"/>
    <w:rsid w:val="006A3E0A"/>
    <w:rsid w:val="006A4239"/>
    <w:rsid w:val="006A4255"/>
    <w:rsid w:val="006A42BD"/>
    <w:rsid w:val="006A4670"/>
    <w:rsid w:val="006A4AF2"/>
    <w:rsid w:val="006A4D39"/>
    <w:rsid w:val="006A5358"/>
    <w:rsid w:val="006A5A17"/>
    <w:rsid w:val="006A5A3A"/>
    <w:rsid w:val="006A68DD"/>
    <w:rsid w:val="006A6CA1"/>
    <w:rsid w:val="006A706C"/>
    <w:rsid w:val="006A70C1"/>
    <w:rsid w:val="006A78D2"/>
    <w:rsid w:val="006A7D4C"/>
    <w:rsid w:val="006B028A"/>
    <w:rsid w:val="006B08BF"/>
    <w:rsid w:val="006B0FF4"/>
    <w:rsid w:val="006B1018"/>
    <w:rsid w:val="006B121D"/>
    <w:rsid w:val="006B12C6"/>
    <w:rsid w:val="006B16C5"/>
    <w:rsid w:val="006B1B20"/>
    <w:rsid w:val="006B1B75"/>
    <w:rsid w:val="006B2023"/>
    <w:rsid w:val="006B2114"/>
    <w:rsid w:val="006B21F2"/>
    <w:rsid w:val="006B2571"/>
    <w:rsid w:val="006B2609"/>
    <w:rsid w:val="006B4A88"/>
    <w:rsid w:val="006B4C82"/>
    <w:rsid w:val="006B5208"/>
    <w:rsid w:val="006B5730"/>
    <w:rsid w:val="006B5A1D"/>
    <w:rsid w:val="006B5E1A"/>
    <w:rsid w:val="006B6BC4"/>
    <w:rsid w:val="006B6F58"/>
    <w:rsid w:val="006B7026"/>
    <w:rsid w:val="006B7758"/>
    <w:rsid w:val="006B7783"/>
    <w:rsid w:val="006C04B0"/>
    <w:rsid w:val="006C0570"/>
    <w:rsid w:val="006C08ED"/>
    <w:rsid w:val="006C0D43"/>
    <w:rsid w:val="006C194C"/>
    <w:rsid w:val="006C197F"/>
    <w:rsid w:val="006C1C78"/>
    <w:rsid w:val="006C2127"/>
    <w:rsid w:val="006C2169"/>
    <w:rsid w:val="006C21D0"/>
    <w:rsid w:val="006C2580"/>
    <w:rsid w:val="006C2765"/>
    <w:rsid w:val="006C27D0"/>
    <w:rsid w:val="006C27FB"/>
    <w:rsid w:val="006C2CDA"/>
    <w:rsid w:val="006C2E30"/>
    <w:rsid w:val="006C2F29"/>
    <w:rsid w:val="006C4386"/>
    <w:rsid w:val="006C4599"/>
    <w:rsid w:val="006C4A1A"/>
    <w:rsid w:val="006C4F45"/>
    <w:rsid w:val="006C5532"/>
    <w:rsid w:val="006C576C"/>
    <w:rsid w:val="006C5A9A"/>
    <w:rsid w:val="006C600F"/>
    <w:rsid w:val="006C6717"/>
    <w:rsid w:val="006C6AA4"/>
    <w:rsid w:val="006C6BE1"/>
    <w:rsid w:val="006C7394"/>
    <w:rsid w:val="006C744A"/>
    <w:rsid w:val="006C7784"/>
    <w:rsid w:val="006C7EB0"/>
    <w:rsid w:val="006D02AD"/>
    <w:rsid w:val="006D0309"/>
    <w:rsid w:val="006D0D77"/>
    <w:rsid w:val="006D1B51"/>
    <w:rsid w:val="006D267B"/>
    <w:rsid w:val="006D2D30"/>
    <w:rsid w:val="006D3295"/>
    <w:rsid w:val="006D336D"/>
    <w:rsid w:val="006D35C7"/>
    <w:rsid w:val="006D38EA"/>
    <w:rsid w:val="006D3F12"/>
    <w:rsid w:val="006D456E"/>
    <w:rsid w:val="006D4AD2"/>
    <w:rsid w:val="006D4B59"/>
    <w:rsid w:val="006D4C22"/>
    <w:rsid w:val="006D5176"/>
    <w:rsid w:val="006D521F"/>
    <w:rsid w:val="006D529E"/>
    <w:rsid w:val="006D52DB"/>
    <w:rsid w:val="006D530F"/>
    <w:rsid w:val="006D586B"/>
    <w:rsid w:val="006D5A1B"/>
    <w:rsid w:val="006D5D0E"/>
    <w:rsid w:val="006D6AC5"/>
    <w:rsid w:val="006D734D"/>
    <w:rsid w:val="006D7A77"/>
    <w:rsid w:val="006D7C60"/>
    <w:rsid w:val="006E0459"/>
    <w:rsid w:val="006E084D"/>
    <w:rsid w:val="006E0F42"/>
    <w:rsid w:val="006E109F"/>
    <w:rsid w:val="006E1155"/>
    <w:rsid w:val="006E1E99"/>
    <w:rsid w:val="006E1F23"/>
    <w:rsid w:val="006E21AE"/>
    <w:rsid w:val="006E23AC"/>
    <w:rsid w:val="006E242A"/>
    <w:rsid w:val="006E2A0F"/>
    <w:rsid w:val="006E2DA5"/>
    <w:rsid w:val="006E2EAA"/>
    <w:rsid w:val="006E2F36"/>
    <w:rsid w:val="006E3193"/>
    <w:rsid w:val="006E3A47"/>
    <w:rsid w:val="006E4A66"/>
    <w:rsid w:val="006E515F"/>
    <w:rsid w:val="006E5252"/>
    <w:rsid w:val="006E56B4"/>
    <w:rsid w:val="006E5B3C"/>
    <w:rsid w:val="006E5EF8"/>
    <w:rsid w:val="006E7BE3"/>
    <w:rsid w:val="006F03EC"/>
    <w:rsid w:val="006F0478"/>
    <w:rsid w:val="006F06FD"/>
    <w:rsid w:val="006F07E3"/>
    <w:rsid w:val="006F0D71"/>
    <w:rsid w:val="006F0F11"/>
    <w:rsid w:val="006F1999"/>
    <w:rsid w:val="006F2423"/>
    <w:rsid w:val="006F2431"/>
    <w:rsid w:val="006F2A40"/>
    <w:rsid w:val="006F30FD"/>
    <w:rsid w:val="006F3612"/>
    <w:rsid w:val="006F36AF"/>
    <w:rsid w:val="006F394A"/>
    <w:rsid w:val="006F3F94"/>
    <w:rsid w:val="006F3FFC"/>
    <w:rsid w:val="006F4116"/>
    <w:rsid w:val="006F4383"/>
    <w:rsid w:val="006F4C9E"/>
    <w:rsid w:val="006F508D"/>
    <w:rsid w:val="006F51B0"/>
    <w:rsid w:val="006F556E"/>
    <w:rsid w:val="006F5BB5"/>
    <w:rsid w:val="006F6664"/>
    <w:rsid w:val="006F6946"/>
    <w:rsid w:val="006F6F5E"/>
    <w:rsid w:val="006F770C"/>
    <w:rsid w:val="00700145"/>
    <w:rsid w:val="007001D8"/>
    <w:rsid w:val="00701A5B"/>
    <w:rsid w:val="00701C02"/>
    <w:rsid w:val="00701EBC"/>
    <w:rsid w:val="00701FB0"/>
    <w:rsid w:val="00702043"/>
    <w:rsid w:val="007021B1"/>
    <w:rsid w:val="0070224C"/>
    <w:rsid w:val="007026BC"/>
    <w:rsid w:val="00702802"/>
    <w:rsid w:val="0070294B"/>
    <w:rsid w:val="00702CA9"/>
    <w:rsid w:val="00703554"/>
    <w:rsid w:val="007038BE"/>
    <w:rsid w:val="00703D2A"/>
    <w:rsid w:val="00703F3A"/>
    <w:rsid w:val="007041CA"/>
    <w:rsid w:val="0070472C"/>
    <w:rsid w:val="007051C8"/>
    <w:rsid w:val="007051D0"/>
    <w:rsid w:val="00705C70"/>
    <w:rsid w:val="00705CAB"/>
    <w:rsid w:val="00706160"/>
    <w:rsid w:val="007079B1"/>
    <w:rsid w:val="00707DBC"/>
    <w:rsid w:val="00710618"/>
    <w:rsid w:val="00710C2E"/>
    <w:rsid w:val="0071171B"/>
    <w:rsid w:val="00711941"/>
    <w:rsid w:val="00711DD0"/>
    <w:rsid w:val="00711E82"/>
    <w:rsid w:val="007121D8"/>
    <w:rsid w:val="00712829"/>
    <w:rsid w:val="00712918"/>
    <w:rsid w:val="00712BD2"/>
    <w:rsid w:val="00713092"/>
    <w:rsid w:val="00713147"/>
    <w:rsid w:val="0071314D"/>
    <w:rsid w:val="007138CB"/>
    <w:rsid w:val="00713AD5"/>
    <w:rsid w:val="00713B02"/>
    <w:rsid w:val="00714207"/>
    <w:rsid w:val="00714265"/>
    <w:rsid w:val="007143EC"/>
    <w:rsid w:val="00714744"/>
    <w:rsid w:val="0071480C"/>
    <w:rsid w:val="007153CA"/>
    <w:rsid w:val="0071548E"/>
    <w:rsid w:val="0071553C"/>
    <w:rsid w:val="00715597"/>
    <w:rsid w:val="00715697"/>
    <w:rsid w:val="0071575C"/>
    <w:rsid w:val="00715878"/>
    <w:rsid w:val="00715C67"/>
    <w:rsid w:val="00715F37"/>
    <w:rsid w:val="00715FBC"/>
    <w:rsid w:val="0071629D"/>
    <w:rsid w:val="0071646F"/>
    <w:rsid w:val="00716AC7"/>
    <w:rsid w:val="007209A1"/>
    <w:rsid w:val="00720AF1"/>
    <w:rsid w:val="00721031"/>
    <w:rsid w:val="0072142D"/>
    <w:rsid w:val="00722025"/>
    <w:rsid w:val="007223F9"/>
    <w:rsid w:val="0072281F"/>
    <w:rsid w:val="007230BB"/>
    <w:rsid w:val="00723876"/>
    <w:rsid w:val="00724030"/>
    <w:rsid w:val="007242A5"/>
    <w:rsid w:val="007242E8"/>
    <w:rsid w:val="0072435E"/>
    <w:rsid w:val="00724A89"/>
    <w:rsid w:val="00725124"/>
    <w:rsid w:val="00725187"/>
    <w:rsid w:val="00725E3B"/>
    <w:rsid w:val="007264B8"/>
    <w:rsid w:val="00727AE5"/>
    <w:rsid w:val="00727F14"/>
    <w:rsid w:val="00730097"/>
    <w:rsid w:val="00731086"/>
    <w:rsid w:val="007311E9"/>
    <w:rsid w:val="00731B26"/>
    <w:rsid w:val="00731F66"/>
    <w:rsid w:val="00732158"/>
    <w:rsid w:val="007327F9"/>
    <w:rsid w:val="0073296E"/>
    <w:rsid w:val="007329A1"/>
    <w:rsid w:val="007333E7"/>
    <w:rsid w:val="00733B6C"/>
    <w:rsid w:val="00733D0E"/>
    <w:rsid w:val="00733DDB"/>
    <w:rsid w:val="00733F4D"/>
    <w:rsid w:val="00733F5E"/>
    <w:rsid w:val="0073459E"/>
    <w:rsid w:val="007346E0"/>
    <w:rsid w:val="0073472B"/>
    <w:rsid w:val="0073493E"/>
    <w:rsid w:val="00734B6A"/>
    <w:rsid w:val="00734DDC"/>
    <w:rsid w:val="00735197"/>
    <w:rsid w:val="007355D3"/>
    <w:rsid w:val="0073593D"/>
    <w:rsid w:val="00735DD8"/>
    <w:rsid w:val="007364BA"/>
    <w:rsid w:val="00736623"/>
    <w:rsid w:val="00737655"/>
    <w:rsid w:val="00737742"/>
    <w:rsid w:val="007379CD"/>
    <w:rsid w:val="0074077C"/>
    <w:rsid w:val="00740AAA"/>
    <w:rsid w:val="00740D5D"/>
    <w:rsid w:val="00741BC7"/>
    <w:rsid w:val="00743150"/>
    <w:rsid w:val="007437C3"/>
    <w:rsid w:val="007438D9"/>
    <w:rsid w:val="00743B90"/>
    <w:rsid w:val="00743DD3"/>
    <w:rsid w:val="00744491"/>
    <w:rsid w:val="007444D3"/>
    <w:rsid w:val="0074455A"/>
    <w:rsid w:val="00744687"/>
    <w:rsid w:val="007448A6"/>
    <w:rsid w:val="0074572C"/>
    <w:rsid w:val="007457B4"/>
    <w:rsid w:val="00745F72"/>
    <w:rsid w:val="0074699E"/>
    <w:rsid w:val="00746F6F"/>
    <w:rsid w:val="007474B8"/>
    <w:rsid w:val="0074782D"/>
    <w:rsid w:val="00747A6B"/>
    <w:rsid w:val="00747FED"/>
    <w:rsid w:val="007501BB"/>
    <w:rsid w:val="0075034D"/>
    <w:rsid w:val="00750478"/>
    <w:rsid w:val="00750540"/>
    <w:rsid w:val="00750600"/>
    <w:rsid w:val="00750607"/>
    <w:rsid w:val="00750AD1"/>
    <w:rsid w:val="00750DA6"/>
    <w:rsid w:val="007511BB"/>
    <w:rsid w:val="007518E7"/>
    <w:rsid w:val="00751BDA"/>
    <w:rsid w:val="00752036"/>
    <w:rsid w:val="0075225C"/>
    <w:rsid w:val="00752994"/>
    <w:rsid w:val="007533BC"/>
    <w:rsid w:val="007538B7"/>
    <w:rsid w:val="00753E28"/>
    <w:rsid w:val="00754309"/>
    <w:rsid w:val="00754603"/>
    <w:rsid w:val="0075548F"/>
    <w:rsid w:val="00755658"/>
    <w:rsid w:val="00755CA5"/>
    <w:rsid w:val="00756216"/>
    <w:rsid w:val="00756CB3"/>
    <w:rsid w:val="00757287"/>
    <w:rsid w:val="00757740"/>
    <w:rsid w:val="00757E5B"/>
    <w:rsid w:val="0076051E"/>
    <w:rsid w:val="007609C2"/>
    <w:rsid w:val="007611EB"/>
    <w:rsid w:val="00761DD7"/>
    <w:rsid w:val="00761EE0"/>
    <w:rsid w:val="00761FC9"/>
    <w:rsid w:val="00762565"/>
    <w:rsid w:val="00762BFA"/>
    <w:rsid w:val="007630AD"/>
    <w:rsid w:val="007632F8"/>
    <w:rsid w:val="007636DF"/>
    <w:rsid w:val="00763A84"/>
    <w:rsid w:val="00763BF4"/>
    <w:rsid w:val="00764348"/>
    <w:rsid w:val="00764468"/>
    <w:rsid w:val="007649B6"/>
    <w:rsid w:val="00764B2E"/>
    <w:rsid w:val="00764E3A"/>
    <w:rsid w:val="00764E8C"/>
    <w:rsid w:val="0076564F"/>
    <w:rsid w:val="00765C77"/>
    <w:rsid w:val="00765F1A"/>
    <w:rsid w:val="0076603C"/>
    <w:rsid w:val="00766639"/>
    <w:rsid w:val="0077002E"/>
    <w:rsid w:val="00770323"/>
    <w:rsid w:val="0077065B"/>
    <w:rsid w:val="00770B5C"/>
    <w:rsid w:val="00770FA3"/>
    <w:rsid w:val="00771064"/>
    <w:rsid w:val="00771100"/>
    <w:rsid w:val="007715A9"/>
    <w:rsid w:val="00771B32"/>
    <w:rsid w:val="00771BE8"/>
    <w:rsid w:val="00771C6B"/>
    <w:rsid w:val="00771F33"/>
    <w:rsid w:val="007726C5"/>
    <w:rsid w:val="00772D38"/>
    <w:rsid w:val="00772DD4"/>
    <w:rsid w:val="00773227"/>
    <w:rsid w:val="007737E0"/>
    <w:rsid w:val="00773A2E"/>
    <w:rsid w:val="00773E63"/>
    <w:rsid w:val="007741DF"/>
    <w:rsid w:val="00774277"/>
    <w:rsid w:val="00774351"/>
    <w:rsid w:val="0077435E"/>
    <w:rsid w:val="00774B23"/>
    <w:rsid w:val="00775515"/>
    <w:rsid w:val="00775625"/>
    <w:rsid w:val="007756E1"/>
    <w:rsid w:val="0077582D"/>
    <w:rsid w:val="00776368"/>
    <w:rsid w:val="00777BF3"/>
    <w:rsid w:val="00777EC4"/>
    <w:rsid w:val="007800B5"/>
    <w:rsid w:val="00780291"/>
    <w:rsid w:val="007803CC"/>
    <w:rsid w:val="007804F0"/>
    <w:rsid w:val="007805C6"/>
    <w:rsid w:val="00780744"/>
    <w:rsid w:val="0078074D"/>
    <w:rsid w:val="007808DD"/>
    <w:rsid w:val="0078091E"/>
    <w:rsid w:val="00780B47"/>
    <w:rsid w:val="007810D3"/>
    <w:rsid w:val="00781769"/>
    <w:rsid w:val="0078183E"/>
    <w:rsid w:val="007819F4"/>
    <w:rsid w:val="00781E34"/>
    <w:rsid w:val="0078227A"/>
    <w:rsid w:val="00782C81"/>
    <w:rsid w:val="0078316C"/>
    <w:rsid w:val="00783661"/>
    <w:rsid w:val="007843F0"/>
    <w:rsid w:val="007845A6"/>
    <w:rsid w:val="007846ED"/>
    <w:rsid w:val="00784A57"/>
    <w:rsid w:val="00785229"/>
    <w:rsid w:val="007854EA"/>
    <w:rsid w:val="0078562F"/>
    <w:rsid w:val="00785732"/>
    <w:rsid w:val="00785910"/>
    <w:rsid w:val="007861FA"/>
    <w:rsid w:val="007867AD"/>
    <w:rsid w:val="00786800"/>
    <w:rsid w:val="00786A1D"/>
    <w:rsid w:val="00786C0C"/>
    <w:rsid w:val="00786E8E"/>
    <w:rsid w:val="007875CC"/>
    <w:rsid w:val="00787849"/>
    <w:rsid w:val="00787BDD"/>
    <w:rsid w:val="00787EF7"/>
    <w:rsid w:val="007903BD"/>
    <w:rsid w:val="00790849"/>
    <w:rsid w:val="0079110A"/>
    <w:rsid w:val="007912CE"/>
    <w:rsid w:val="00791BDF"/>
    <w:rsid w:val="00791FFA"/>
    <w:rsid w:val="00792751"/>
    <w:rsid w:val="00792C31"/>
    <w:rsid w:val="0079367D"/>
    <w:rsid w:val="00793777"/>
    <w:rsid w:val="007942B9"/>
    <w:rsid w:val="0079433B"/>
    <w:rsid w:val="007947D7"/>
    <w:rsid w:val="00794EA3"/>
    <w:rsid w:val="00795180"/>
    <w:rsid w:val="007952D9"/>
    <w:rsid w:val="0079620F"/>
    <w:rsid w:val="00796671"/>
    <w:rsid w:val="00796A7E"/>
    <w:rsid w:val="00797141"/>
    <w:rsid w:val="00797142"/>
    <w:rsid w:val="0079735E"/>
    <w:rsid w:val="00797752"/>
    <w:rsid w:val="00797937"/>
    <w:rsid w:val="00797BB1"/>
    <w:rsid w:val="007A047F"/>
    <w:rsid w:val="007A04BD"/>
    <w:rsid w:val="007A06C1"/>
    <w:rsid w:val="007A0A9F"/>
    <w:rsid w:val="007A0C75"/>
    <w:rsid w:val="007A13C0"/>
    <w:rsid w:val="007A1446"/>
    <w:rsid w:val="007A2395"/>
    <w:rsid w:val="007A244C"/>
    <w:rsid w:val="007A272E"/>
    <w:rsid w:val="007A2F38"/>
    <w:rsid w:val="007A3797"/>
    <w:rsid w:val="007A3883"/>
    <w:rsid w:val="007A38BC"/>
    <w:rsid w:val="007A38FE"/>
    <w:rsid w:val="007A3A5F"/>
    <w:rsid w:val="007A3CA7"/>
    <w:rsid w:val="007A3CD3"/>
    <w:rsid w:val="007A4134"/>
    <w:rsid w:val="007A45D4"/>
    <w:rsid w:val="007A4CB4"/>
    <w:rsid w:val="007A4E3A"/>
    <w:rsid w:val="007A4F95"/>
    <w:rsid w:val="007A5543"/>
    <w:rsid w:val="007A74C6"/>
    <w:rsid w:val="007A7893"/>
    <w:rsid w:val="007A792D"/>
    <w:rsid w:val="007A7F26"/>
    <w:rsid w:val="007A7FB0"/>
    <w:rsid w:val="007B0667"/>
    <w:rsid w:val="007B072B"/>
    <w:rsid w:val="007B0BA0"/>
    <w:rsid w:val="007B0D60"/>
    <w:rsid w:val="007B0F9E"/>
    <w:rsid w:val="007B10F4"/>
    <w:rsid w:val="007B2234"/>
    <w:rsid w:val="007B2A51"/>
    <w:rsid w:val="007B2E85"/>
    <w:rsid w:val="007B327C"/>
    <w:rsid w:val="007B3318"/>
    <w:rsid w:val="007B3BB5"/>
    <w:rsid w:val="007B3C59"/>
    <w:rsid w:val="007B459C"/>
    <w:rsid w:val="007B46E2"/>
    <w:rsid w:val="007B549D"/>
    <w:rsid w:val="007B579C"/>
    <w:rsid w:val="007B5CF5"/>
    <w:rsid w:val="007B6582"/>
    <w:rsid w:val="007B66D6"/>
    <w:rsid w:val="007B7685"/>
    <w:rsid w:val="007B79FA"/>
    <w:rsid w:val="007B7DE5"/>
    <w:rsid w:val="007C03C3"/>
    <w:rsid w:val="007C05CF"/>
    <w:rsid w:val="007C0A65"/>
    <w:rsid w:val="007C0D6C"/>
    <w:rsid w:val="007C1140"/>
    <w:rsid w:val="007C14E8"/>
    <w:rsid w:val="007C19A5"/>
    <w:rsid w:val="007C1C1C"/>
    <w:rsid w:val="007C1D4B"/>
    <w:rsid w:val="007C272D"/>
    <w:rsid w:val="007C29E7"/>
    <w:rsid w:val="007C2A5A"/>
    <w:rsid w:val="007C3105"/>
    <w:rsid w:val="007C399D"/>
    <w:rsid w:val="007C3A03"/>
    <w:rsid w:val="007C3EE2"/>
    <w:rsid w:val="007C3FBE"/>
    <w:rsid w:val="007C41BA"/>
    <w:rsid w:val="007C428A"/>
    <w:rsid w:val="007C437E"/>
    <w:rsid w:val="007C4732"/>
    <w:rsid w:val="007C47BE"/>
    <w:rsid w:val="007C4B98"/>
    <w:rsid w:val="007C4D1D"/>
    <w:rsid w:val="007C50EF"/>
    <w:rsid w:val="007C5B86"/>
    <w:rsid w:val="007C603A"/>
    <w:rsid w:val="007C6B69"/>
    <w:rsid w:val="007C6CA4"/>
    <w:rsid w:val="007C79C5"/>
    <w:rsid w:val="007C7C91"/>
    <w:rsid w:val="007D01CD"/>
    <w:rsid w:val="007D058B"/>
    <w:rsid w:val="007D06D6"/>
    <w:rsid w:val="007D0AAF"/>
    <w:rsid w:val="007D0B1E"/>
    <w:rsid w:val="007D10B6"/>
    <w:rsid w:val="007D1390"/>
    <w:rsid w:val="007D13B4"/>
    <w:rsid w:val="007D143A"/>
    <w:rsid w:val="007D14C6"/>
    <w:rsid w:val="007D1B12"/>
    <w:rsid w:val="007D1E20"/>
    <w:rsid w:val="007D280F"/>
    <w:rsid w:val="007D2A21"/>
    <w:rsid w:val="007D2FDA"/>
    <w:rsid w:val="007D3761"/>
    <w:rsid w:val="007D3813"/>
    <w:rsid w:val="007D39AE"/>
    <w:rsid w:val="007D3D87"/>
    <w:rsid w:val="007D3D96"/>
    <w:rsid w:val="007D41E3"/>
    <w:rsid w:val="007D4304"/>
    <w:rsid w:val="007D458A"/>
    <w:rsid w:val="007D466B"/>
    <w:rsid w:val="007D471A"/>
    <w:rsid w:val="007D4D3B"/>
    <w:rsid w:val="007D4FEF"/>
    <w:rsid w:val="007D5C8B"/>
    <w:rsid w:val="007D5EF4"/>
    <w:rsid w:val="007D64DB"/>
    <w:rsid w:val="007D65A6"/>
    <w:rsid w:val="007D6913"/>
    <w:rsid w:val="007D731D"/>
    <w:rsid w:val="007D75F5"/>
    <w:rsid w:val="007D7D74"/>
    <w:rsid w:val="007E027F"/>
    <w:rsid w:val="007E0428"/>
    <w:rsid w:val="007E04A0"/>
    <w:rsid w:val="007E0BA1"/>
    <w:rsid w:val="007E0F9D"/>
    <w:rsid w:val="007E1829"/>
    <w:rsid w:val="007E1F12"/>
    <w:rsid w:val="007E2C44"/>
    <w:rsid w:val="007E336B"/>
    <w:rsid w:val="007E3FBE"/>
    <w:rsid w:val="007E5716"/>
    <w:rsid w:val="007E5891"/>
    <w:rsid w:val="007E644B"/>
    <w:rsid w:val="007E69DA"/>
    <w:rsid w:val="007E6E64"/>
    <w:rsid w:val="007E713D"/>
    <w:rsid w:val="007E7343"/>
    <w:rsid w:val="007E736A"/>
    <w:rsid w:val="007E7451"/>
    <w:rsid w:val="007E7543"/>
    <w:rsid w:val="007E7A99"/>
    <w:rsid w:val="007E7AB9"/>
    <w:rsid w:val="007E7B3C"/>
    <w:rsid w:val="007E7DCE"/>
    <w:rsid w:val="007E7EC9"/>
    <w:rsid w:val="007F004E"/>
    <w:rsid w:val="007F0261"/>
    <w:rsid w:val="007F0404"/>
    <w:rsid w:val="007F06DF"/>
    <w:rsid w:val="007F0910"/>
    <w:rsid w:val="007F0AC7"/>
    <w:rsid w:val="007F11CA"/>
    <w:rsid w:val="007F16F9"/>
    <w:rsid w:val="007F1716"/>
    <w:rsid w:val="007F187B"/>
    <w:rsid w:val="007F1969"/>
    <w:rsid w:val="007F1ED4"/>
    <w:rsid w:val="007F1F52"/>
    <w:rsid w:val="007F1FEC"/>
    <w:rsid w:val="007F218B"/>
    <w:rsid w:val="007F2870"/>
    <w:rsid w:val="007F2B32"/>
    <w:rsid w:val="007F2F81"/>
    <w:rsid w:val="007F33BD"/>
    <w:rsid w:val="007F39BB"/>
    <w:rsid w:val="007F451F"/>
    <w:rsid w:val="007F471C"/>
    <w:rsid w:val="007F4A03"/>
    <w:rsid w:val="007F5035"/>
    <w:rsid w:val="007F5080"/>
    <w:rsid w:val="007F5A67"/>
    <w:rsid w:val="007F5EF7"/>
    <w:rsid w:val="007F6040"/>
    <w:rsid w:val="007F6703"/>
    <w:rsid w:val="007F6938"/>
    <w:rsid w:val="007F6D04"/>
    <w:rsid w:val="007F70FC"/>
    <w:rsid w:val="007F7217"/>
    <w:rsid w:val="007F7AF5"/>
    <w:rsid w:val="007F7EB5"/>
    <w:rsid w:val="00801138"/>
    <w:rsid w:val="00801405"/>
    <w:rsid w:val="008014FF"/>
    <w:rsid w:val="00801914"/>
    <w:rsid w:val="00801BC1"/>
    <w:rsid w:val="00801D4D"/>
    <w:rsid w:val="00802568"/>
    <w:rsid w:val="00802F17"/>
    <w:rsid w:val="0080312F"/>
    <w:rsid w:val="0080344E"/>
    <w:rsid w:val="008037AF"/>
    <w:rsid w:val="00803AD7"/>
    <w:rsid w:val="00803C66"/>
    <w:rsid w:val="00803D7F"/>
    <w:rsid w:val="00803F75"/>
    <w:rsid w:val="00803FB0"/>
    <w:rsid w:val="00803FDA"/>
    <w:rsid w:val="008046EC"/>
    <w:rsid w:val="008048EE"/>
    <w:rsid w:val="00805D23"/>
    <w:rsid w:val="008064F4"/>
    <w:rsid w:val="00806958"/>
    <w:rsid w:val="00807239"/>
    <w:rsid w:val="00807648"/>
    <w:rsid w:val="00807D17"/>
    <w:rsid w:val="00810076"/>
    <w:rsid w:val="00810090"/>
    <w:rsid w:val="00810927"/>
    <w:rsid w:val="00810D26"/>
    <w:rsid w:val="0081117D"/>
    <w:rsid w:val="0081209F"/>
    <w:rsid w:val="0081227B"/>
    <w:rsid w:val="00813364"/>
    <w:rsid w:val="0081394B"/>
    <w:rsid w:val="00813C8C"/>
    <w:rsid w:val="008146AA"/>
    <w:rsid w:val="00814BB4"/>
    <w:rsid w:val="00814BCC"/>
    <w:rsid w:val="00815839"/>
    <w:rsid w:val="00815B6C"/>
    <w:rsid w:val="008166C9"/>
    <w:rsid w:val="00816E22"/>
    <w:rsid w:val="0081702A"/>
    <w:rsid w:val="00817A55"/>
    <w:rsid w:val="00817A8E"/>
    <w:rsid w:val="00817B3C"/>
    <w:rsid w:val="0082031E"/>
    <w:rsid w:val="00820785"/>
    <w:rsid w:val="00820C88"/>
    <w:rsid w:val="00820CB5"/>
    <w:rsid w:val="00820ED1"/>
    <w:rsid w:val="008212FD"/>
    <w:rsid w:val="0082144C"/>
    <w:rsid w:val="008216C6"/>
    <w:rsid w:val="00821B1C"/>
    <w:rsid w:val="00821F7B"/>
    <w:rsid w:val="00822106"/>
    <w:rsid w:val="008226CD"/>
    <w:rsid w:val="0082273B"/>
    <w:rsid w:val="008228BF"/>
    <w:rsid w:val="00822F9D"/>
    <w:rsid w:val="00823539"/>
    <w:rsid w:val="0082368A"/>
    <w:rsid w:val="008238AA"/>
    <w:rsid w:val="00823A08"/>
    <w:rsid w:val="00824987"/>
    <w:rsid w:val="00824B64"/>
    <w:rsid w:val="00824C4D"/>
    <w:rsid w:val="008251C7"/>
    <w:rsid w:val="0082527D"/>
    <w:rsid w:val="008266B9"/>
    <w:rsid w:val="00826D73"/>
    <w:rsid w:val="008270DA"/>
    <w:rsid w:val="008271D1"/>
    <w:rsid w:val="00827520"/>
    <w:rsid w:val="00827603"/>
    <w:rsid w:val="008277CA"/>
    <w:rsid w:val="00827D3A"/>
    <w:rsid w:val="00827F21"/>
    <w:rsid w:val="00830255"/>
    <w:rsid w:val="008303AF"/>
    <w:rsid w:val="008307B4"/>
    <w:rsid w:val="00830907"/>
    <w:rsid w:val="00830EF2"/>
    <w:rsid w:val="00830F2B"/>
    <w:rsid w:val="00831142"/>
    <w:rsid w:val="008314D4"/>
    <w:rsid w:val="0083164E"/>
    <w:rsid w:val="008317D3"/>
    <w:rsid w:val="00831E79"/>
    <w:rsid w:val="0083213F"/>
    <w:rsid w:val="0083235D"/>
    <w:rsid w:val="0083245E"/>
    <w:rsid w:val="00832C71"/>
    <w:rsid w:val="00832D37"/>
    <w:rsid w:val="00833C84"/>
    <w:rsid w:val="00833EBF"/>
    <w:rsid w:val="00834792"/>
    <w:rsid w:val="00834A6F"/>
    <w:rsid w:val="00834C83"/>
    <w:rsid w:val="008355FF"/>
    <w:rsid w:val="0083561F"/>
    <w:rsid w:val="00835671"/>
    <w:rsid w:val="0083582B"/>
    <w:rsid w:val="00836121"/>
    <w:rsid w:val="00836314"/>
    <w:rsid w:val="0083637F"/>
    <w:rsid w:val="00836EC1"/>
    <w:rsid w:val="00836F4F"/>
    <w:rsid w:val="00837303"/>
    <w:rsid w:val="00837501"/>
    <w:rsid w:val="008378E3"/>
    <w:rsid w:val="00837BEA"/>
    <w:rsid w:val="00837D89"/>
    <w:rsid w:val="008400AA"/>
    <w:rsid w:val="0084020A"/>
    <w:rsid w:val="008405EC"/>
    <w:rsid w:val="00840668"/>
    <w:rsid w:val="00840C10"/>
    <w:rsid w:val="00840FFB"/>
    <w:rsid w:val="008411E7"/>
    <w:rsid w:val="00841655"/>
    <w:rsid w:val="00841696"/>
    <w:rsid w:val="008417AB"/>
    <w:rsid w:val="008417E6"/>
    <w:rsid w:val="00841808"/>
    <w:rsid w:val="0084190C"/>
    <w:rsid w:val="00841976"/>
    <w:rsid w:val="00841C69"/>
    <w:rsid w:val="00841E9A"/>
    <w:rsid w:val="00842226"/>
    <w:rsid w:val="00842ED9"/>
    <w:rsid w:val="00843077"/>
    <w:rsid w:val="0084320B"/>
    <w:rsid w:val="00843388"/>
    <w:rsid w:val="008434C0"/>
    <w:rsid w:val="00843567"/>
    <w:rsid w:val="00843C6A"/>
    <w:rsid w:val="00843CB3"/>
    <w:rsid w:val="00843EB0"/>
    <w:rsid w:val="00843F63"/>
    <w:rsid w:val="0084432B"/>
    <w:rsid w:val="0084432E"/>
    <w:rsid w:val="00844448"/>
    <w:rsid w:val="00844530"/>
    <w:rsid w:val="00844DCD"/>
    <w:rsid w:val="008450E6"/>
    <w:rsid w:val="008452FC"/>
    <w:rsid w:val="00845790"/>
    <w:rsid w:val="008469C7"/>
    <w:rsid w:val="00846ECB"/>
    <w:rsid w:val="0084747B"/>
    <w:rsid w:val="00850633"/>
    <w:rsid w:val="00850852"/>
    <w:rsid w:val="008509C0"/>
    <w:rsid w:val="00850B60"/>
    <w:rsid w:val="0085135D"/>
    <w:rsid w:val="0085150F"/>
    <w:rsid w:val="008519DC"/>
    <w:rsid w:val="00851D6E"/>
    <w:rsid w:val="00851E37"/>
    <w:rsid w:val="00851F99"/>
    <w:rsid w:val="0085224F"/>
    <w:rsid w:val="008523C2"/>
    <w:rsid w:val="00852C3D"/>
    <w:rsid w:val="00852C4D"/>
    <w:rsid w:val="0085309B"/>
    <w:rsid w:val="00853199"/>
    <w:rsid w:val="0085325B"/>
    <w:rsid w:val="00853781"/>
    <w:rsid w:val="00853D9E"/>
    <w:rsid w:val="00853EDE"/>
    <w:rsid w:val="0085468E"/>
    <w:rsid w:val="008550AC"/>
    <w:rsid w:val="008559F6"/>
    <w:rsid w:val="00855EC9"/>
    <w:rsid w:val="008563A4"/>
    <w:rsid w:val="00856464"/>
    <w:rsid w:val="008565EB"/>
    <w:rsid w:val="008565FB"/>
    <w:rsid w:val="008569A6"/>
    <w:rsid w:val="00856BDC"/>
    <w:rsid w:val="008571C0"/>
    <w:rsid w:val="00857579"/>
    <w:rsid w:val="00857984"/>
    <w:rsid w:val="00857B24"/>
    <w:rsid w:val="00857E93"/>
    <w:rsid w:val="00857EDA"/>
    <w:rsid w:val="008600D8"/>
    <w:rsid w:val="00860107"/>
    <w:rsid w:val="008602F3"/>
    <w:rsid w:val="008604E1"/>
    <w:rsid w:val="008608E0"/>
    <w:rsid w:val="00860979"/>
    <w:rsid w:val="008609A9"/>
    <w:rsid w:val="00861453"/>
    <w:rsid w:val="00861A68"/>
    <w:rsid w:val="00861B28"/>
    <w:rsid w:val="0086207A"/>
    <w:rsid w:val="008622BF"/>
    <w:rsid w:val="00862A82"/>
    <w:rsid w:val="00863B7A"/>
    <w:rsid w:val="0086416D"/>
    <w:rsid w:val="008643C9"/>
    <w:rsid w:val="008647D5"/>
    <w:rsid w:val="00864AB7"/>
    <w:rsid w:val="00864AE8"/>
    <w:rsid w:val="00864B96"/>
    <w:rsid w:val="00864CEE"/>
    <w:rsid w:val="00866809"/>
    <w:rsid w:val="00866BAF"/>
    <w:rsid w:val="00867AEF"/>
    <w:rsid w:val="00867B09"/>
    <w:rsid w:val="00870CA6"/>
    <w:rsid w:val="00870DDD"/>
    <w:rsid w:val="0087100E"/>
    <w:rsid w:val="00871025"/>
    <w:rsid w:val="00872523"/>
    <w:rsid w:val="00872D05"/>
    <w:rsid w:val="00872D74"/>
    <w:rsid w:val="00872EA5"/>
    <w:rsid w:val="00872F3D"/>
    <w:rsid w:val="00873061"/>
    <w:rsid w:val="0087320A"/>
    <w:rsid w:val="008732DA"/>
    <w:rsid w:val="008737BA"/>
    <w:rsid w:val="00873C71"/>
    <w:rsid w:val="00873E0D"/>
    <w:rsid w:val="00874112"/>
    <w:rsid w:val="00874477"/>
    <w:rsid w:val="0087497A"/>
    <w:rsid w:val="00874F68"/>
    <w:rsid w:val="008751DC"/>
    <w:rsid w:val="0087545B"/>
    <w:rsid w:val="00876393"/>
    <w:rsid w:val="00876D46"/>
    <w:rsid w:val="00877277"/>
    <w:rsid w:val="00877383"/>
    <w:rsid w:val="0087768C"/>
    <w:rsid w:val="00877AF2"/>
    <w:rsid w:val="00877F09"/>
    <w:rsid w:val="00880180"/>
    <w:rsid w:val="00880947"/>
    <w:rsid w:val="00880AF5"/>
    <w:rsid w:val="008811C3"/>
    <w:rsid w:val="0088122B"/>
    <w:rsid w:val="00881594"/>
    <w:rsid w:val="008817A8"/>
    <w:rsid w:val="008821AE"/>
    <w:rsid w:val="00882299"/>
    <w:rsid w:val="00882609"/>
    <w:rsid w:val="008826FD"/>
    <w:rsid w:val="00882B01"/>
    <w:rsid w:val="00882BE7"/>
    <w:rsid w:val="00883396"/>
    <w:rsid w:val="0088341F"/>
    <w:rsid w:val="008835AF"/>
    <w:rsid w:val="00883673"/>
    <w:rsid w:val="008836D0"/>
    <w:rsid w:val="008839A6"/>
    <w:rsid w:val="00883DED"/>
    <w:rsid w:val="00884AA6"/>
    <w:rsid w:val="008855DA"/>
    <w:rsid w:val="008859CF"/>
    <w:rsid w:val="00885B88"/>
    <w:rsid w:val="00885BFD"/>
    <w:rsid w:val="00885FCF"/>
    <w:rsid w:val="00886212"/>
    <w:rsid w:val="00886370"/>
    <w:rsid w:val="00886601"/>
    <w:rsid w:val="0088662E"/>
    <w:rsid w:val="00886A73"/>
    <w:rsid w:val="00886BD2"/>
    <w:rsid w:val="00886C2F"/>
    <w:rsid w:val="00886D0E"/>
    <w:rsid w:val="008873F5"/>
    <w:rsid w:val="00887882"/>
    <w:rsid w:val="00887A6A"/>
    <w:rsid w:val="00887B41"/>
    <w:rsid w:val="00887D26"/>
    <w:rsid w:val="00887F66"/>
    <w:rsid w:val="008904FF"/>
    <w:rsid w:val="0089096D"/>
    <w:rsid w:val="008912A2"/>
    <w:rsid w:val="0089137B"/>
    <w:rsid w:val="008919DB"/>
    <w:rsid w:val="00891A8B"/>
    <w:rsid w:val="00891E0C"/>
    <w:rsid w:val="008921A0"/>
    <w:rsid w:val="008921E9"/>
    <w:rsid w:val="008927E5"/>
    <w:rsid w:val="00892920"/>
    <w:rsid w:val="008932AA"/>
    <w:rsid w:val="00893987"/>
    <w:rsid w:val="00893AAF"/>
    <w:rsid w:val="00893B5B"/>
    <w:rsid w:val="00894292"/>
    <w:rsid w:val="0089478F"/>
    <w:rsid w:val="00894A64"/>
    <w:rsid w:val="00894AAB"/>
    <w:rsid w:val="00894B1E"/>
    <w:rsid w:val="00894B43"/>
    <w:rsid w:val="00894CED"/>
    <w:rsid w:val="00894F39"/>
    <w:rsid w:val="00895159"/>
    <w:rsid w:val="0089525E"/>
    <w:rsid w:val="00895363"/>
    <w:rsid w:val="0089537B"/>
    <w:rsid w:val="00895394"/>
    <w:rsid w:val="00895F4A"/>
    <w:rsid w:val="00896238"/>
    <w:rsid w:val="00896648"/>
    <w:rsid w:val="008968B3"/>
    <w:rsid w:val="00896AA0"/>
    <w:rsid w:val="00896E8C"/>
    <w:rsid w:val="008A0201"/>
    <w:rsid w:val="008A0470"/>
    <w:rsid w:val="008A06A1"/>
    <w:rsid w:val="008A081D"/>
    <w:rsid w:val="008A17DC"/>
    <w:rsid w:val="008A19A5"/>
    <w:rsid w:val="008A1CC2"/>
    <w:rsid w:val="008A1D79"/>
    <w:rsid w:val="008A1E63"/>
    <w:rsid w:val="008A2436"/>
    <w:rsid w:val="008A2A9B"/>
    <w:rsid w:val="008A2B56"/>
    <w:rsid w:val="008A3218"/>
    <w:rsid w:val="008A356D"/>
    <w:rsid w:val="008A3D65"/>
    <w:rsid w:val="008A6285"/>
    <w:rsid w:val="008A6456"/>
    <w:rsid w:val="008A6935"/>
    <w:rsid w:val="008A6C2E"/>
    <w:rsid w:val="008A6D50"/>
    <w:rsid w:val="008A7ABB"/>
    <w:rsid w:val="008B0048"/>
    <w:rsid w:val="008B0173"/>
    <w:rsid w:val="008B09FD"/>
    <w:rsid w:val="008B15DA"/>
    <w:rsid w:val="008B262B"/>
    <w:rsid w:val="008B296D"/>
    <w:rsid w:val="008B3D55"/>
    <w:rsid w:val="008B3EDA"/>
    <w:rsid w:val="008B4406"/>
    <w:rsid w:val="008B4954"/>
    <w:rsid w:val="008B551D"/>
    <w:rsid w:val="008B55B9"/>
    <w:rsid w:val="008B574D"/>
    <w:rsid w:val="008B5B48"/>
    <w:rsid w:val="008B5BA9"/>
    <w:rsid w:val="008B5D75"/>
    <w:rsid w:val="008B65CD"/>
    <w:rsid w:val="008B6670"/>
    <w:rsid w:val="008B6937"/>
    <w:rsid w:val="008B6C06"/>
    <w:rsid w:val="008B6DD9"/>
    <w:rsid w:val="008B7473"/>
    <w:rsid w:val="008B7C39"/>
    <w:rsid w:val="008B7C55"/>
    <w:rsid w:val="008B7F7F"/>
    <w:rsid w:val="008C0668"/>
    <w:rsid w:val="008C075D"/>
    <w:rsid w:val="008C0B73"/>
    <w:rsid w:val="008C0D4D"/>
    <w:rsid w:val="008C12E5"/>
    <w:rsid w:val="008C162A"/>
    <w:rsid w:val="008C1709"/>
    <w:rsid w:val="008C221F"/>
    <w:rsid w:val="008C2563"/>
    <w:rsid w:val="008C3052"/>
    <w:rsid w:val="008C3144"/>
    <w:rsid w:val="008C318C"/>
    <w:rsid w:val="008C3DF3"/>
    <w:rsid w:val="008C4763"/>
    <w:rsid w:val="008C48AE"/>
    <w:rsid w:val="008C4F30"/>
    <w:rsid w:val="008C52A7"/>
    <w:rsid w:val="008C52C0"/>
    <w:rsid w:val="008C581D"/>
    <w:rsid w:val="008C59E1"/>
    <w:rsid w:val="008C5BA7"/>
    <w:rsid w:val="008C60B4"/>
    <w:rsid w:val="008C62F9"/>
    <w:rsid w:val="008C6347"/>
    <w:rsid w:val="008C64B8"/>
    <w:rsid w:val="008C6690"/>
    <w:rsid w:val="008C6A45"/>
    <w:rsid w:val="008C6E3F"/>
    <w:rsid w:val="008C6F3E"/>
    <w:rsid w:val="008C775D"/>
    <w:rsid w:val="008C7DD7"/>
    <w:rsid w:val="008D0109"/>
    <w:rsid w:val="008D0594"/>
    <w:rsid w:val="008D05CD"/>
    <w:rsid w:val="008D0BFD"/>
    <w:rsid w:val="008D130F"/>
    <w:rsid w:val="008D1596"/>
    <w:rsid w:val="008D15DB"/>
    <w:rsid w:val="008D1AED"/>
    <w:rsid w:val="008D1BB7"/>
    <w:rsid w:val="008D2109"/>
    <w:rsid w:val="008D22A7"/>
    <w:rsid w:val="008D251F"/>
    <w:rsid w:val="008D25F8"/>
    <w:rsid w:val="008D2661"/>
    <w:rsid w:val="008D283F"/>
    <w:rsid w:val="008D2AC2"/>
    <w:rsid w:val="008D3423"/>
    <w:rsid w:val="008D40E8"/>
    <w:rsid w:val="008D4313"/>
    <w:rsid w:val="008D4577"/>
    <w:rsid w:val="008D45DA"/>
    <w:rsid w:val="008D4662"/>
    <w:rsid w:val="008D46BF"/>
    <w:rsid w:val="008D4AC6"/>
    <w:rsid w:val="008D4AE9"/>
    <w:rsid w:val="008D4B13"/>
    <w:rsid w:val="008D575E"/>
    <w:rsid w:val="008D5CF2"/>
    <w:rsid w:val="008D5F9E"/>
    <w:rsid w:val="008D6535"/>
    <w:rsid w:val="008D6D4A"/>
    <w:rsid w:val="008D7DB1"/>
    <w:rsid w:val="008D7ECC"/>
    <w:rsid w:val="008E05AE"/>
    <w:rsid w:val="008E0873"/>
    <w:rsid w:val="008E092A"/>
    <w:rsid w:val="008E0DAA"/>
    <w:rsid w:val="008E16A2"/>
    <w:rsid w:val="008E1D77"/>
    <w:rsid w:val="008E2E13"/>
    <w:rsid w:val="008E3B05"/>
    <w:rsid w:val="008E3CE6"/>
    <w:rsid w:val="008E462E"/>
    <w:rsid w:val="008E47A9"/>
    <w:rsid w:val="008E4A6E"/>
    <w:rsid w:val="008E4BF7"/>
    <w:rsid w:val="008E4F00"/>
    <w:rsid w:val="008E50F5"/>
    <w:rsid w:val="008E61B2"/>
    <w:rsid w:val="008E62C5"/>
    <w:rsid w:val="008E62CE"/>
    <w:rsid w:val="008E62D7"/>
    <w:rsid w:val="008E6CD8"/>
    <w:rsid w:val="008E70F9"/>
    <w:rsid w:val="008E78F6"/>
    <w:rsid w:val="008E7C25"/>
    <w:rsid w:val="008E7EA8"/>
    <w:rsid w:val="008F04A5"/>
    <w:rsid w:val="008F0DEA"/>
    <w:rsid w:val="008F0E1A"/>
    <w:rsid w:val="008F1107"/>
    <w:rsid w:val="008F131E"/>
    <w:rsid w:val="008F160D"/>
    <w:rsid w:val="008F1979"/>
    <w:rsid w:val="008F1A06"/>
    <w:rsid w:val="008F230A"/>
    <w:rsid w:val="008F2639"/>
    <w:rsid w:val="008F2DD3"/>
    <w:rsid w:val="008F2E09"/>
    <w:rsid w:val="008F3511"/>
    <w:rsid w:val="008F3746"/>
    <w:rsid w:val="008F4244"/>
    <w:rsid w:val="008F4456"/>
    <w:rsid w:val="008F45EE"/>
    <w:rsid w:val="008F4CAE"/>
    <w:rsid w:val="008F5224"/>
    <w:rsid w:val="008F52B1"/>
    <w:rsid w:val="008F5490"/>
    <w:rsid w:val="008F5C6F"/>
    <w:rsid w:val="008F6031"/>
    <w:rsid w:val="008F6484"/>
    <w:rsid w:val="008F68CD"/>
    <w:rsid w:val="008F69C0"/>
    <w:rsid w:val="008F6AB0"/>
    <w:rsid w:val="008F719C"/>
    <w:rsid w:val="008F7448"/>
    <w:rsid w:val="008F7893"/>
    <w:rsid w:val="008F78D0"/>
    <w:rsid w:val="009003A3"/>
    <w:rsid w:val="00900501"/>
    <w:rsid w:val="009005B7"/>
    <w:rsid w:val="009005DD"/>
    <w:rsid w:val="00901097"/>
    <w:rsid w:val="00901282"/>
    <w:rsid w:val="00901D40"/>
    <w:rsid w:val="00901D65"/>
    <w:rsid w:val="009020DD"/>
    <w:rsid w:val="00902DE3"/>
    <w:rsid w:val="00903478"/>
    <w:rsid w:val="009035A3"/>
    <w:rsid w:val="00903678"/>
    <w:rsid w:val="00903C3A"/>
    <w:rsid w:val="00903EB8"/>
    <w:rsid w:val="0090400F"/>
    <w:rsid w:val="00904203"/>
    <w:rsid w:val="0090474E"/>
    <w:rsid w:val="009049C6"/>
    <w:rsid w:val="00904B48"/>
    <w:rsid w:val="009056C2"/>
    <w:rsid w:val="009057AC"/>
    <w:rsid w:val="00906198"/>
    <w:rsid w:val="00906709"/>
    <w:rsid w:val="009067F3"/>
    <w:rsid w:val="0090686E"/>
    <w:rsid w:val="00906DB2"/>
    <w:rsid w:val="00907A2D"/>
    <w:rsid w:val="00907EE2"/>
    <w:rsid w:val="009104EA"/>
    <w:rsid w:val="00910648"/>
    <w:rsid w:val="0091079F"/>
    <w:rsid w:val="00910848"/>
    <w:rsid w:val="00910984"/>
    <w:rsid w:val="00911A41"/>
    <w:rsid w:val="00911B38"/>
    <w:rsid w:val="0091262C"/>
    <w:rsid w:val="00912C72"/>
    <w:rsid w:val="00912E0B"/>
    <w:rsid w:val="00913074"/>
    <w:rsid w:val="009131F1"/>
    <w:rsid w:val="0091330D"/>
    <w:rsid w:val="00913721"/>
    <w:rsid w:val="00913DCC"/>
    <w:rsid w:val="00913F1F"/>
    <w:rsid w:val="00914154"/>
    <w:rsid w:val="009141EE"/>
    <w:rsid w:val="00914204"/>
    <w:rsid w:val="0091462D"/>
    <w:rsid w:val="009148C7"/>
    <w:rsid w:val="0091508E"/>
    <w:rsid w:val="009155F2"/>
    <w:rsid w:val="009159BF"/>
    <w:rsid w:val="00915AF7"/>
    <w:rsid w:val="00915F74"/>
    <w:rsid w:val="00916517"/>
    <w:rsid w:val="00916BA7"/>
    <w:rsid w:val="00916FF2"/>
    <w:rsid w:val="00917536"/>
    <w:rsid w:val="00917791"/>
    <w:rsid w:val="009179DF"/>
    <w:rsid w:val="00917A43"/>
    <w:rsid w:val="00920092"/>
    <w:rsid w:val="00920974"/>
    <w:rsid w:val="009209A0"/>
    <w:rsid w:val="00920F3A"/>
    <w:rsid w:val="00921D32"/>
    <w:rsid w:val="00921FF7"/>
    <w:rsid w:val="009222EC"/>
    <w:rsid w:val="009225AA"/>
    <w:rsid w:val="009228F7"/>
    <w:rsid w:val="0092294B"/>
    <w:rsid w:val="00922EB8"/>
    <w:rsid w:val="00922F03"/>
    <w:rsid w:val="00923051"/>
    <w:rsid w:val="009239D5"/>
    <w:rsid w:val="00923A86"/>
    <w:rsid w:val="00924030"/>
    <w:rsid w:val="009241CE"/>
    <w:rsid w:val="0092426E"/>
    <w:rsid w:val="009245E7"/>
    <w:rsid w:val="0092467B"/>
    <w:rsid w:val="0092493F"/>
    <w:rsid w:val="00924A72"/>
    <w:rsid w:val="0092513F"/>
    <w:rsid w:val="009253CB"/>
    <w:rsid w:val="009257A1"/>
    <w:rsid w:val="00925861"/>
    <w:rsid w:val="009259D2"/>
    <w:rsid w:val="009263C5"/>
    <w:rsid w:val="009264A7"/>
    <w:rsid w:val="009264B8"/>
    <w:rsid w:val="00926828"/>
    <w:rsid w:val="00926ACA"/>
    <w:rsid w:val="009274E5"/>
    <w:rsid w:val="0092754B"/>
    <w:rsid w:val="00927A29"/>
    <w:rsid w:val="00930266"/>
    <w:rsid w:val="00930B11"/>
    <w:rsid w:val="00930BB8"/>
    <w:rsid w:val="009318FC"/>
    <w:rsid w:val="00931940"/>
    <w:rsid w:val="009319F6"/>
    <w:rsid w:val="00931DA5"/>
    <w:rsid w:val="0093252A"/>
    <w:rsid w:val="0093290D"/>
    <w:rsid w:val="00932BC5"/>
    <w:rsid w:val="00932D6E"/>
    <w:rsid w:val="0093330B"/>
    <w:rsid w:val="0093357A"/>
    <w:rsid w:val="00933DAF"/>
    <w:rsid w:val="00933FCE"/>
    <w:rsid w:val="009345FB"/>
    <w:rsid w:val="00934B5D"/>
    <w:rsid w:val="00934CF5"/>
    <w:rsid w:val="009359D9"/>
    <w:rsid w:val="00935B44"/>
    <w:rsid w:val="00935B95"/>
    <w:rsid w:val="00935CB5"/>
    <w:rsid w:val="00936341"/>
    <w:rsid w:val="00936521"/>
    <w:rsid w:val="00936E01"/>
    <w:rsid w:val="00937E92"/>
    <w:rsid w:val="00940283"/>
    <w:rsid w:val="0094032D"/>
    <w:rsid w:val="009404C3"/>
    <w:rsid w:val="009412A4"/>
    <w:rsid w:val="009416D4"/>
    <w:rsid w:val="0094194D"/>
    <w:rsid w:val="00941A59"/>
    <w:rsid w:val="009421BD"/>
    <w:rsid w:val="00942610"/>
    <w:rsid w:val="009427C9"/>
    <w:rsid w:val="00942964"/>
    <w:rsid w:val="00942B82"/>
    <w:rsid w:val="00942D96"/>
    <w:rsid w:val="00942EE7"/>
    <w:rsid w:val="009435D0"/>
    <w:rsid w:val="00943F63"/>
    <w:rsid w:val="0094459C"/>
    <w:rsid w:val="00944839"/>
    <w:rsid w:val="009449B3"/>
    <w:rsid w:val="00944C8D"/>
    <w:rsid w:val="00944CE0"/>
    <w:rsid w:val="00944F2E"/>
    <w:rsid w:val="00944FF9"/>
    <w:rsid w:val="00945226"/>
    <w:rsid w:val="0094525B"/>
    <w:rsid w:val="0094572F"/>
    <w:rsid w:val="009459CF"/>
    <w:rsid w:val="009464C3"/>
    <w:rsid w:val="009466C8"/>
    <w:rsid w:val="009469B5"/>
    <w:rsid w:val="00946EEC"/>
    <w:rsid w:val="0094728F"/>
    <w:rsid w:val="00947953"/>
    <w:rsid w:val="009479AF"/>
    <w:rsid w:val="0095063A"/>
    <w:rsid w:val="009508CE"/>
    <w:rsid w:val="00950D49"/>
    <w:rsid w:val="00951AC7"/>
    <w:rsid w:val="00951BE6"/>
    <w:rsid w:val="00952681"/>
    <w:rsid w:val="009528FA"/>
    <w:rsid w:val="0095302D"/>
    <w:rsid w:val="009535A1"/>
    <w:rsid w:val="009535FD"/>
    <w:rsid w:val="00953864"/>
    <w:rsid w:val="00953C0E"/>
    <w:rsid w:val="00954AF3"/>
    <w:rsid w:val="00954EBA"/>
    <w:rsid w:val="00954F64"/>
    <w:rsid w:val="009553E5"/>
    <w:rsid w:val="009557EF"/>
    <w:rsid w:val="00955F48"/>
    <w:rsid w:val="0095658B"/>
    <w:rsid w:val="0095679B"/>
    <w:rsid w:val="009569E7"/>
    <w:rsid w:val="00956D2E"/>
    <w:rsid w:val="00956F3F"/>
    <w:rsid w:val="00956F4C"/>
    <w:rsid w:val="00957958"/>
    <w:rsid w:val="0096010C"/>
    <w:rsid w:val="0096048E"/>
    <w:rsid w:val="00960548"/>
    <w:rsid w:val="00960800"/>
    <w:rsid w:val="00960BAA"/>
    <w:rsid w:val="00960BFF"/>
    <w:rsid w:val="00960C7D"/>
    <w:rsid w:val="00961253"/>
    <w:rsid w:val="00961C51"/>
    <w:rsid w:val="00961C6C"/>
    <w:rsid w:val="0096208F"/>
    <w:rsid w:val="009620CF"/>
    <w:rsid w:val="00962362"/>
    <w:rsid w:val="00962ACA"/>
    <w:rsid w:val="00962EC2"/>
    <w:rsid w:val="009631D5"/>
    <w:rsid w:val="009634F8"/>
    <w:rsid w:val="009638B8"/>
    <w:rsid w:val="009638DE"/>
    <w:rsid w:val="00963B1D"/>
    <w:rsid w:val="00964106"/>
    <w:rsid w:val="00964ACE"/>
    <w:rsid w:val="00964DB0"/>
    <w:rsid w:val="00964F1C"/>
    <w:rsid w:val="009652D7"/>
    <w:rsid w:val="009659B4"/>
    <w:rsid w:val="00965E2A"/>
    <w:rsid w:val="00965FA3"/>
    <w:rsid w:val="00966172"/>
    <w:rsid w:val="009661D1"/>
    <w:rsid w:val="00966467"/>
    <w:rsid w:val="0096651F"/>
    <w:rsid w:val="00966C92"/>
    <w:rsid w:val="00967A97"/>
    <w:rsid w:val="00967B17"/>
    <w:rsid w:val="00967CF1"/>
    <w:rsid w:val="009701CB"/>
    <w:rsid w:val="00970BB9"/>
    <w:rsid w:val="00970D6B"/>
    <w:rsid w:val="0097102B"/>
    <w:rsid w:val="0097119A"/>
    <w:rsid w:val="009714F0"/>
    <w:rsid w:val="0097178B"/>
    <w:rsid w:val="00971D2A"/>
    <w:rsid w:val="00971D2D"/>
    <w:rsid w:val="0097252C"/>
    <w:rsid w:val="009725AF"/>
    <w:rsid w:val="00972EF0"/>
    <w:rsid w:val="0097321A"/>
    <w:rsid w:val="009736DE"/>
    <w:rsid w:val="009740B4"/>
    <w:rsid w:val="009746A8"/>
    <w:rsid w:val="009748A6"/>
    <w:rsid w:val="0097492B"/>
    <w:rsid w:val="0097565E"/>
    <w:rsid w:val="00975DAD"/>
    <w:rsid w:val="0097612B"/>
    <w:rsid w:val="009767C2"/>
    <w:rsid w:val="00976D6D"/>
    <w:rsid w:val="009772BB"/>
    <w:rsid w:val="0097734F"/>
    <w:rsid w:val="00977360"/>
    <w:rsid w:val="00977569"/>
    <w:rsid w:val="009775AF"/>
    <w:rsid w:val="00977A84"/>
    <w:rsid w:val="00977B65"/>
    <w:rsid w:val="009806E7"/>
    <w:rsid w:val="00980A63"/>
    <w:rsid w:val="00980B8F"/>
    <w:rsid w:val="009810A6"/>
    <w:rsid w:val="0098152A"/>
    <w:rsid w:val="00981744"/>
    <w:rsid w:val="00982632"/>
    <w:rsid w:val="0098275B"/>
    <w:rsid w:val="00982A54"/>
    <w:rsid w:val="00982AAE"/>
    <w:rsid w:val="00982EF0"/>
    <w:rsid w:val="009831B0"/>
    <w:rsid w:val="0098322E"/>
    <w:rsid w:val="0098323F"/>
    <w:rsid w:val="00983342"/>
    <w:rsid w:val="00983AB2"/>
    <w:rsid w:val="00983DDD"/>
    <w:rsid w:val="00984E05"/>
    <w:rsid w:val="00984E60"/>
    <w:rsid w:val="0098501B"/>
    <w:rsid w:val="00985453"/>
    <w:rsid w:val="00985B16"/>
    <w:rsid w:val="009869B6"/>
    <w:rsid w:val="00987005"/>
    <w:rsid w:val="0098714D"/>
    <w:rsid w:val="0098732D"/>
    <w:rsid w:val="00987584"/>
    <w:rsid w:val="00987787"/>
    <w:rsid w:val="00987E8F"/>
    <w:rsid w:val="009915D1"/>
    <w:rsid w:val="00991AAB"/>
    <w:rsid w:val="00991D64"/>
    <w:rsid w:val="0099203E"/>
    <w:rsid w:val="009925C8"/>
    <w:rsid w:val="00992974"/>
    <w:rsid w:val="00992C69"/>
    <w:rsid w:val="00992E79"/>
    <w:rsid w:val="00993349"/>
    <w:rsid w:val="00993ABC"/>
    <w:rsid w:val="009947BE"/>
    <w:rsid w:val="00994829"/>
    <w:rsid w:val="00994A3B"/>
    <w:rsid w:val="00994C9C"/>
    <w:rsid w:val="00995090"/>
    <w:rsid w:val="0099564B"/>
    <w:rsid w:val="00995BC6"/>
    <w:rsid w:val="009960BB"/>
    <w:rsid w:val="00996A0D"/>
    <w:rsid w:val="00996ADA"/>
    <w:rsid w:val="00996ED2"/>
    <w:rsid w:val="009970F7"/>
    <w:rsid w:val="009976C0"/>
    <w:rsid w:val="009977B5"/>
    <w:rsid w:val="0099798C"/>
    <w:rsid w:val="00997A1E"/>
    <w:rsid w:val="00997B82"/>
    <w:rsid w:val="009A0312"/>
    <w:rsid w:val="009A038E"/>
    <w:rsid w:val="009A1070"/>
    <w:rsid w:val="009A1690"/>
    <w:rsid w:val="009A1892"/>
    <w:rsid w:val="009A1CBB"/>
    <w:rsid w:val="009A1D75"/>
    <w:rsid w:val="009A23DC"/>
    <w:rsid w:val="009A25AE"/>
    <w:rsid w:val="009A2A3A"/>
    <w:rsid w:val="009A2A4E"/>
    <w:rsid w:val="009A31D3"/>
    <w:rsid w:val="009A345C"/>
    <w:rsid w:val="009A3512"/>
    <w:rsid w:val="009A35D3"/>
    <w:rsid w:val="009A3C11"/>
    <w:rsid w:val="009A3FF3"/>
    <w:rsid w:val="009A4613"/>
    <w:rsid w:val="009A4672"/>
    <w:rsid w:val="009A4835"/>
    <w:rsid w:val="009A4F63"/>
    <w:rsid w:val="009A591B"/>
    <w:rsid w:val="009A5C09"/>
    <w:rsid w:val="009A5E1D"/>
    <w:rsid w:val="009A65AF"/>
    <w:rsid w:val="009A66FB"/>
    <w:rsid w:val="009A6F95"/>
    <w:rsid w:val="009A6FC7"/>
    <w:rsid w:val="009A77E2"/>
    <w:rsid w:val="009A7C92"/>
    <w:rsid w:val="009A7DC7"/>
    <w:rsid w:val="009B0C05"/>
    <w:rsid w:val="009B0D53"/>
    <w:rsid w:val="009B1B5B"/>
    <w:rsid w:val="009B2510"/>
    <w:rsid w:val="009B2BEC"/>
    <w:rsid w:val="009B2D44"/>
    <w:rsid w:val="009B3DF0"/>
    <w:rsid w:val="009B410C"/>
    <w:rsid w:val="009B41EB"/>
    <w:rsid w:val="009B430C"/>
    <w:rsid w:val="009B474B"/>
    <w:rsid w:val="009B4ED6"/>
    <w:rsid w:val="009B4EDB"/>
    <w:rsid w:val="009B57C3"/>
    <w:rsid w:val="009B6286"/>
    <w:rsid w:val="009B6769"/>
    <w:rsid w:val="009B67B8"/>
    <w:rsid w:val="009B6C1D"/>
    <w:rsid w:val="009B6EC0"/>
    <w:rsid w:val="009B7A48"/>
    <w:rsid w:val="009B7DA5"/>
    <w:rsid w:val="009C0110"/>
    <w:rsid w:val="009C0243"/>
    <w:rsid w:val="009C05B4"/>
    <w:rsid w:val="009C0627"/>
    <w:rsid w:val="009C078F"/>
    <w:rsid w:val="009C07D6"/>
    <w:rsid w:val="009C099A"/>
    <w:rsid w:val="009C114E"/>
    <w:rsid w:val="009C1379"/>
    <w:rsid w:val="009C1744"/>
    <w:rsid w:val="009C2933"/>
    <w:rsid w:val="009C2A3F"/>
    <w:rsid w:val="009C3A02"/>
    <w:rsid w:val="009C3B03"/>
    <w:rsid w:val="009C3FED"/>
    <w:rsid w:val="009C4590"/>
    <w:rsid w:val="009C469A"/>
    <w:rsid w:val="009C5247"/>
    <w:rsid w:val="009C5681"/>
    <w:rsid w:val="009C5799"/>
    <w:rsid w:val="009C5D19"/>
    <w:rsid w:val="009C6F6D"/>
    <w:rsid w:val="009C7317"/>
    <w:rsid w:val="009C7716"/>
    <w:rsid w:val="009C7725"/>
    <w:rsid w:val="009C7E51"/>
    <w:rsid w:val="009C7F30"/>
    <w:rsid w:val="009D097F"/>
    <w:rsid w:val="009D0FE5"/>
    <w:rsid w:val="009D106A"/>
    <w:rsid w:val="009D1366"/>
    <w:rsid w:val="009D2030"/>
    <w:rsid w:val="009D2820"/>
    <w:rsid w:val="009D28D3"/>
    <w:rsid w:val="009D35B8"/>
    <w:rsid w:val="009D3B4E"/>
    <w:rsid w:val="009D3DF3"/>
    <w:rsid w:val="009D4A84"/>
    <w:rsid w:val="009D4B61"/>
    <w:rsid w:val="009D4CED"/>
    <w:rsid w:val="009D4E61"/>
    <w:rsid w:val="009D52A5"/>
    <w:rsid w:val="009D541A"/>
    <w:rsid w:val="009D5CE7"/>
    <w:rsid w:val="009D703E"/>
    <w:rsid w:val="009D70D7"/>
    <w:rsid w:val="009D78B8"/>
    <w:rsid w:val="009D7EB5"/>
    <w:rsid w:val="009E08B1"/>
    <w:rsid w:val="009E0A62"/>
    <w:rsid w:val="009E0ADF"/>
    <w:rsid w:val="009E0B51"/>
    <w:rsid w:val="009E0DE1"/>
    <w:rsid w:val="009E13F3"/>
    <w:rsid w:val="009E1505"/>
    <w:rsid w:val="009E1541"/>
    <w:rsid w:val="009E167E"/>
    <w:rsid w:val="009E20CA"/>
    <w:rsid w:val="009E22D7"/>
    <w:rsid w:val="009E23C0"/>
    <w:rsid w:val="009E2846"/>
    <w:rsid w:val="009E2A14"/>
    <w:rsid w:val="009E3151"/>
    <w:rsid w:val="009E32E9"/>
    <w:rsid w:val="009E33BC"/>
    <w:rsid w:val="009E3F2E"/>
    <w:rsid w:val="009E449C"/>
    <w:rsid w:val="009E4C3B"/>
    <w:rsid w:val="009E5340"/>
    <w:rsid w:val="009E596A"/>
    <w:rsid w:val="009E5F8D"/>
    <w:rsid w:val="009E6573"/>
    <w:rsid w:val="009E6CB7"/>
    <w:rsid w:val="009E6FA0"/>
    <w:rsid w:val="009E6FE6"/>
    <w:rsid w:val="009E7875"/>
    <w:rsid w:val="009E790C"/>
    <w:rsid w:val="009E7ADD"/>
    <w:rsid w:val="009E7BDC"/>
    <w:rsid w:val="009F07EC"/>
    <w:rsid w:val="009F0F3E"/>
    <w:rsid w:val="009F1824"/>
    <w:rsid w:val="009F19D7"/>
    <w:rsid w:val="009F1BE8"/>
    <w:rsid w:val="009F276B"/>
    <w:rsid w:val="009F2FD3"/>
    <w:rsid w:val="009F35FF"/>
    <w:rsid w:val="009F38DC"/>
    <w:rsid w:val="009F3E05"/>
    <w:rsid w:val="009F4AF1"/>
    <w:rsid w:val="009F4DBB"/>
    <w:rsid w:val="009F4F9F"/>
    <w:rsid w:val="009F5C35"/>
    <w:rsid w:val="009F6629"/>
    <w:rsid w:val="009F78D3"/>
    <w:rsid w:val="009F7C6B"/>
    <w:rsid w:val="00A0079B"/>
    <w:rsid w:val="00A00DB7"/>
    <w:rsid w:val="00A0161D"/>
    <w:rsid w:val="00A01D70"/>
    <w:rsid w:val="00A01E8C"/>
    <w:rsid w:val="00A02102"/>
    <w:rsid w:val="00A02195"/>
    <w:rsid w:val="00A023AF"/>
    <w:rsid w:val="00A02461"/>
    <w:rsid w:val="00A02511"/>
    <w:rsid w:val="00A028CE"/>
    <w:rsid w:val="00A03081"/>
    <w:rsid w:val="00A031BA"/>
    <w:rsid w:val="00A035AD"/>
    <w:rsid w:val="00A038A5"/>
    <w:rsid w:val="00A03D92"/>
    <w:rsid w:val="00A045B7"/>
    <w:rsid w:val="00A04804"/>
    <w:rsid w:val="00A04819"/>
    <w:rsid w:val="00A04F16"/>
    <w:rsid w:val="00A050D0"/>
    <w:rsid w:val="00A05501"/>
    <w:rsid w:val="00A059A6"/>
    <w:rsid w:val="00A059B6"/>
    <w:rsid w:val="00A0602A"/>
    <w:rsid w:val="00A06681"/>
    <w:rsid w:val="00A06741"/>
    <w:rsid w:val="00A06EFE"/>
    <w:rsid w:val="00A06F20"/>
    <w:rsid w:val="00A07370"/>
    <w:rsid w:val="00A0739B"/>
    <w:rsid w:val="00A1096A"/>
    <w:rsid w:val="00A10D97"/>
    <w:rsid w:val="00A11129"/>
    <w:rsid w:val="00A11733"/>
    <w:rsid w:val="00A12641"/>
    <w:rsid w:val="00A13306"/>
    <w:rsid w:val="00A13D88"/>
    <w:rsid w:val="00A13F5B"/>
    <w:rsid w:val="00A1402F"/>
    <w:rsid w:val="00A142B3"/>
    <w:rsid w:val="00A142F5"/>
    <w:rsid w:val="00A145CB"/>
    <w:rsid w:val="00A146F2"/>
    <w:rsid w:val="00A1499E"/>
    <w:rsid w:val="00A1534B"/>
    <w:rsid w:val="00A15464"/>
    <w:rsid w:val="00A15C3E"/>
    <w:rsid w:val="00A15C56"/>
    <w:rsid w:val="00A15CCB"/>
    <w:rsid w:val="00A16615"/>
    <w:rsid w:val="00A16844"/>
    <w:rsid w:val="00A16DEF"/>
    <w:rsid w:val="00A16E82"/>
    <w:rsid w:val="00A17330"/>
    <w:rsid w:val="00A17580"/>
    <w:rsid w:val="00A17909"/>
    <w:rsid w:val="00A17CAD"/>
    <w:rsid w:val="00A17EF6"/>
    <w:rsid w:val="00A17F17"/>
    <w:rsid w:val="00A200F0"/>
    <w:rsid w:val="00A20434"/>
    <w:rsid w:val="00A2139A"/>
    <w:rsid w:val="00A2255F"/>
    <w:rsid w:val="00A226B1"/>
    <w:rsid w:val="00A22CE0"/>
    <w:rsid w:val="00A231C9"/>
    <w:rsid w:val="00A246BB"/>
    <w:rsid w:val="00A24A3C"/>
    <w:rsid w:val="00A24A95"/>
    <w:rsid w:val="00A24ECD"/>
    <w:rsid w:val="00A24F03"/>
    <w:rsid w:val="00A25245"/>
    <w:rsid w:val="00A252A6"/>
    <w:rsid w:val="00A255B0"/>
    <w:rsid w:val="00A2616E"/>
    <w:rsid w:val="00A262D7"/>
    <w:rsid w:val="00A262D9"/>
    <w:rsid w:val="00A26A2E"/>
    <w:rsid w:val="00A26D95"/>
    <w:rsid w:val="00A2764A"/>
    <w:rsid w:val="00A304FB"/>
    <w:rsid w:val="00A30783"/>
    <w:rsid w:val="00A30E7C"/>
    <w:rsid w:val="00A31119"/>
    <w:rsid w:val="00A31169"/>
    <w:rsid w:val="00A31336"/>
    <w:rsid w:val="00A31500"/>
    <w:rsid w:val="00A315B3"/>
    <w:rsid w:val="00A31CC2"/>
    <w:rsid w:val="00A31D66"/>
    <w:rsid w:val="00A31E35"/>
    <w:rsid w:val="00A32045"/>
    <w:rsid w:val="00A32B5B"/>
    <w:rsid w:val="00A33B46"/>
    <w:rsid w:val="00A344BE"/>
    <w:rsid w:val="00A34A7C"/>
    <w:rsid w:val="00A34CD8"/>
    <w:rsid w:val="00A35B35"/>
    <w:rsid w:val="00A35D2B"/>
    <w:rsid w:val="00A36B20"/>
    <w:rsid w:val="00A36DA3"/>
    <w:rsid w:val="00A36F72"/>
    <w:rsid w:val="00A36FB6"/>
    <w:rsid w:val="00A373F1"/>
    <w:rsid w:val="00A3746E"/>
    <w:rsid w:val="00A3777E"/>
    <w:rsid w:val="00A37853"/>
    <w:rsid w:val="00A37879"/>
    <w:rsid w:val="00A37BEE"/>
    <w:rsid w:val="00A37CF7"/>
    <w:rsid w:val="00A4013C"/>
    <w:rsid w:val="00A403E5"/>
    <w:rsid w:val="00A404AC"/>
    <w:rsid w:val="00A405EC"/>
    <w:rsid w:val="00A41117"/>
    <w:rsid w:val="00A4149C"/>
    <w:rsid w:val="00A4185A"/>
    <w:rsid w:val="00A41AE7"/>
    <w:rsid w:val="00A4262E"/>
    <w:rsid w:val="00A427A8"/>
    <w:rsid w:val="00A42809"/>
    <w:rsid w:val="00A428D1"/>
    <w:rsid w:val="00A42BED"/>
    <w:rsid w:val="00A43187"/>
    <w:rsid w:val="00A4368B"/>
    <w:rsid w:val="00A43699"/>
    <w:rsid w:val="00A436A3"/>
    <w:rsid w:val="00A43D17"/>
    <w:rsid w:val="00A43D5E"/>
    <w:rsid w:val="00A444B9"/>
    <w:rsid w:val="00A444E9"/>
    <w:rsid w:val="00A44E72"/>
    <w:rsid w:val="00A45198"/>
    <w:rsid w:val="00A453AA"/>
    <w:rsid w:val="00A453BC"/>
    <w:rsid w:val="00A45746"/>
    <w:rsid w:val="00A458F6"/>
    <w:rsid w:val="00A459EE"/>
    <w:rsid w:val="00A45D6B"/>
    <w:rsid w:val="00A45F60"/>
    <w:rsid w:val="00A465E1"/>
    <w:rsid w:val="00A46D73"/>
    <w:rsid w:val="00A4705B"/>
    <w:rsid w:val="00A47970"/>
    <w:rsid w:val="00A50331"/>
    <w:rsid w:val="00A5054A"/>
    <w:rsid w:val="00A50958"/>
    <w:rsid w:val="00A51185"/>
    <w:rsid w:val="00A516D6"/>
    <w:rsid w:val="00A516E9"/>
    <w:rsid w:val="00A5196F"/>
    <w:rsid w:val="00A51AAF"/>
    <w:rsid w:val="00A52360"/>
    <w:rsid w:val="00A526D3"/>
    <w:rsid w:val="00A52A82"/>
    <w:rsid w:val="00A52B1F"/>
    <w:rsid w:val="00A52D58"/>
    <w:rsid w:val="00A5302D"/>
    <w:rsid w:val="00A53229"/>
    <w:rsid w:val="00A53347"/>
    <w:rsid w:val="00A533BD"/>
    <w:rsid w:val="00A5383A"/>
    <w:rsid w:val="00A545B6"/>
    <w:rsid w:val="00A54B1B"/>
    <w:rsid w:val="00A54E76"/>
    <w:rsid w:val="00A54F41"/>
    <w:rsid w:val="00A5505D"/>
    <w:rsid w:val="00A5527A"/>
    <w:rsid w:val="00A5545C"/>
    <w:rsid w:val="00A5552C"/>
    <w:rsid w:val="00A55958"/>
    <w:rsid w:val="00A55FEF"/>
    <w:rsid w:val="00A56896"/>
    <w:rsid w:val="00A568A8"/>
    <w:rsid w:val="00A56AC8"/>
    <w:rsid w:val="00A56B4A"/>
    <w:rsid w:val="00A56E7B"/>
    <w:rsid w:val="00A5721A"/>
    <w:rsid w:val="00A57B46"/>
    <w:rsid w:val="00A57C53"/>
    <w:rsid w:val="00A57CB4"/>
    <w:rsid w:val="00A57F30"/>
    <w:rsid w:val="00A608AF"/>
    <w:rsid w:val="00A60999"/>
    <w:rsid w:val="00A60ACB"/>
    <w:rsid w:val="00A610D4"/>
    <w:rsid w:val="00A61450"/>
    <w:rsid w:val="00A61989"/>
    <w:rsid w:val="00A61C7F"/>
    <w:rsid w:val="00A61FD1"/>
    <w:rsid w:val="00A6203D"/>
    <w:rsid w:val="00A62878"/>
    <w:rsid w:val="00A62E34"/>
    <w:rsid w:val="00A63944"/>
    <w:rsid w:val="00A6398C"/>
    <w:rsid w:val="00A63C04"/>
    <w:rsid w:val="00A63D15"/>
    <w:rsid w:val="00A6415D"/>
    <w:rsid w:val="00A6485A"/>
    <w:rsid w:val="00A64B0B"/>
    <w:rsid w:val="00A64BCD"/>
    <w:rsid w:val="00A64D8C"/>
    <w:rsid w:val="00A6577F"/>
    <w:rsid w:val="00A660C0"/>
    <w:rsid w:val="00A664E6"/>
    <w:rsid w:val="00A66668"/>
    <w:rsid w:val="00A66694"/>
    <w:rsid w:val="00A6715E"/>
    <w:rsid w:val="00A673FC"/>
    <w:rsid w:val="00A70800"/>
    <w:rsid w:val="00A71587"/>
    <w:rsid w:val="00A71799"/>
    <w:rsid w:val="00A719B4"/>
    <w:rsid w:val="00A71D65"/>
    <w:rsid w:val="00A72626"/>
    <w:rsid w:val="00A72710"/>
    <w:rsid w:val="00A72AC5"/>
    <w:rsid w:val="00A7321A"/>
    <w:rsid w:val="00A74070"/>
    <w:rsid w:val="00A740AA"/>
    <w:rsid w:val="00A749AC"/>
    <w:rsid w:val="00A74F2E"/>
    <w:rsid w:val="00A752D3"/>
    <w:rsid w:val="00A75332"/>
    <w:rsid w:val="00A757F2"/>
    <w:rsid w:val="00A764A6"/>
    <w:rsid w:val="00A76AC8"/>
    <w:rsid w:val="00A76AD2"/>
    <w:rsid w:val="00A76DBC"/>
    <w:rsid w:val="00A76E0A"/>
    <w:rsid w:val="00A77B88"/>
    <w:rsid w:val="00A77D58"/>
    <w:rsid w:val="00A80191"/>
    <w:rsid w:val="00A801FE"/>
    <w:rsid w:val="00A8064D"/>
    <w:rsid w:val="00A812BD"/>
    <w:rsid w:val="00A81536"/>
    <w:rsid w:val="00A817E2"/>
    <w:rsid w:val="00A817E6"/>
    <w:rsid w:val="00A82074"/>
    <w:rsid w:val="00A820ED"/>
    <w:rsid w:val="00A82308"/>
    <w:rsid w:val="00A827F7"/>
    <w:rsid w:val="00A828B1"/>
    <w:rsid w:val="00A82E29"/>
    <w:rsid w:val="00A8371E"/>
    <w:rsid w:val="00A837D7"/>
    <w:rsid w:val="00A83BEB"/>
    <w:rsid w:val="00A847A9"/>
    <w:rsid w:val="00A84EBA"/>
    <w:rsid w:val="00A85455"/>
    <w:rsid w:val="00A85750"/>
    <w:rsid w:val="00A857B0"/>
    <w:rsid w:val="00A858A9"/>
    <w:rsid w:val="00A860E4"/>
    <w:rsid w:val="00A86322"/>
    <w:rsid w:val="00A86414"/>
    <w:rsid w:val="00A868AD"/>
    <w:rsid w:val="00A86A7A"/>
    <w:rsid w:val="00A86B87"/>
    <w:rsid w:val="00A870FB"/>
    <w:rsid w:val="00A87104"/>
    <w:rsid w:val="00A871BA"/>
    <w:rsid w:val="00A878E9"/>
    <w:rsid w:val="00A90943"/>
    <w:rsid w:val="00A90F12"/>
    <w:rsid w:val="00A920DA"/>
    <w:rsid w:val="00A92113"/>
    <w:rsid w:val="00A92852"/>
    <w:rsid w:val="00A92AFD"/>
    <w:rsid w:val="00A92B5A"/>
    <w:rsid w:val="00A9399B"/>
    <w:rsid w:val="00A93C63"/>
    <w:rsid w:val="00A93EA5"/>
    <w:rsid w:val="00A93F63"/>
    <w:rsid w:val="00A940EA"/>
    <w:rsid w:val="00A94C23"/>
    <w:rsid w:val="00A94DD1"/>
    <w:rsid w:val="00A95129"/>
    <w:rsid w:val="00A95254"/>
    <w:rsid w:val="00A955CC"/>
    <w:rsid w:val="00A9574A"/>
    <w:rsid w:val="00A9576E"/>
    <w:rsid w:val="00A95EB7"/>
    <w:rsid w:val="00A961B4"/>
    <w:rsid w:val="00A963D0"/>
    <w:rsid w:val="00A96678"/>
    <w:rsid w:val="00A96B6A"/>
    <w:rsid w:val="00A97621"/>
    <w:rsid w:val="00A97BF9"/>
    <w:rsid w:val="00A97EB0"/>
    <w:rsid w:val="00A97EFC"/>
    <w:rsid w:val="00A97FDC"/>
    <w:rsid w:val="00AA0C83"/>
    <w:rsid w:val="00AA1343"/>
    <w:rsid w:val="00AA1BD8"/>
    <w:rsid w:val="00AA1FDF"/>
    <w:rsid w:val="00AA20C9"/>
    <w:rsid w:val="00AA2AFB"/>
    <w:rsid w:val="00AA2FF5"/>
    <w:rsid w:val="00AA32FB"/>
    <w:rsid w:val="00AA33A0"/>
    <w:rsid w:val="00AA3917"/>
    <w:rsid w:val="00AA3DC9"/>
    <w:rsid w:val="00AA3E83"/>
    <w:rsid w:val="00AA3F99"/>
    <w:rsid w:val="00AA42C9"/>
    <w:rsid w:val="00AA4704"/>
    <w:rsid w:val="00AA4784"/>
    <w:rsid w:val="00AA4AC0"/>
    <w:rsid w:val="00AA4FF1"/>
    <w:rsid w:val="00AA54FA"/>
    <w:rsid w:val="00AA5527"/>
    <w:rsid w:val="00AA61A6"/>
    <w:rsid w:val="00AA6572"/>
    <w:rsid w:val="00AA70BF"/>
    <w:rsid w:val="00AA70D0"/>
    <w:rsid w:val="00AA71EC"/>
    <w:rsid w:val="00AA7BE8"/>
    <w:rsid w:val="00AB0024"/>
    <w:rsid w:val="00AB0062"/>
    <w:rsid w:val="00AB0351"/>
    <w:rsid w:val="00AB0EEE"/>
    <w:rsid w:val="00AB1316"/>
    <w:rsid w:val="00AB18BD"/>
    <w:rsid w:val="00AB18FB"/>
    <w:rsid w:val="00AB2413"/>
    <w:rsid w:val="00AB2879"/>
    <w:rsid w:val="00AB2B43"/>
    <w:rsid w:val="00AB2BD1"/>
    <w:rsid w:val="00AB2E1B"/>
    <w:rsid w:val="00AB2EE5"/>
    <w:rsid w:val="00AB371B"/>
    <w:rsid w:val="00AB3754"/>
    <w:rsid w:val="00AB3AE5"/>
    <w:rsid w:val="00AB3B19"/>
    <w:rsid w:val="00AB473A"/>
    <w:rsid w:val="00AB473D"/>
    <w:rsid w:val="00AB4CB9"/>
    <w:rsid w:val="00AB523F"/>
    <w:rsid w:val="00AB5D10"/>
    <w:rsid w:val="00AB5D3E"/>
    <w:rsid w:val="00AB630E"/>
    <w:rsid w:val="00AB65A4"/>
    <w:rsid w:val="00AB7B77"/>
    <w:rsid w:val="00AC012B"/>
    <w:rsid w:val="00AC0331"/>
    <w:rsid w:val="00AC046D"/>
    <w:rsid w:val="00AC0845"/>
    <w:rsid w:val="00AC0999"/>
    <w:rsid w:val="00AC0C65"/>
    <w:rsid w:val="00AC0F39"/>
    <w:rsid w:val="00AC116C"/>
    <w:rsid w:val="00AC1B3A"/>
    <w:rsid w:val="00AC21DB"/>
    <w:rsid w:val="00AC21FD"/>
    <w:rsid w:val="00AC23FC"/>
    <w:rsid w:val="00AC24F8"/>
    <w:rsid w:val="00AC2C53"/>
    <w:rsid w:val="00AC3420"/>
    <w:rsid w:val="00AC41F1"/>
    <w:rsid w:val="00AC4F2F"/>
    <w:rsid w:val="00AC4F99"/>
    <w:rsid w:val="00AC543C"/>
    <w:rsid w:val="00AC5BB7"/>
    <w:rsid w:val="00AC5C35"/>
    <w:rsid w:val="00AC5D19"/>
    <w:rsid w:val="00AC603D"/>
    <w:rsid w:val="00AC6676"/>
    <w:rsid w:val="00AC6A47"/>
    <w:rsid w:val="00AC6B7B"/>
    <w:rsid w:val="00AC6EBB"/>
    <w:rsid w:val="00AC7179"/>
    <w:rsid w:val="00AC7630"/>
    <w:rsid w:val="00AC76B7"/>
    <w:rsid w:val="00AC7C73"/>
    <w:rsid w:val="00AC7D9C"/>
    <w:rsid w:val="00AC7EA2"/>
    <w:rsid w:val="00AD0608"/>
    <w:rsid w:val="00AD0E04"/>
    <w:rsid w:val="00AD0E38"/>
    <w:rsid w:val="00AD0FC8"/>
    <w:rsid w:val="00AD115D"/>
    <w:rsid w:val="00AD13AE"/>
    <w:rsid w:val="00AD1F44"/>
    <w:rsid w:val="00AD2270"/>
    <w:rsid w:val="00AD266A"/>
    <w:rsid w:val="00AD2A51"/>
    <w:rsid w:val="00AD351E"/>
    <w:rsid w:val="00AD3B3C"/>
    <w:rsid w:val="00AD40B9"/>
    <w:rsid w:val="00AD42B4"/>
    <w:rsid w:val="00AD481D"/>
    <w:rsid w:val="00AD49AF"/>
    <w:rsid w:val="00AD4DEB"/>
    <w:rsid w:val="00AD54C3"/>
    <w:rsid w:val="00AD55D5"/>
    <w:rsid w:val="00AD5C7E"/>
    <w:rsid w:val="00AD5D7B"/>
    <w:rsid w:val="00AD5EF8"/>
    <w:rsid w:val="00AD6555"/>
    <w:rsid w:val="00AD6908"/>
    <w:rsid w:val="00AD6D86"/>
    <w:rsid w:val="00AD7616"/>
    <w:rsid w:val="00AD7A3A"/>
    <w:rsid w:val="00AD7AAF"/>
    <w:rsid w:val="00AD7AB2"/>
    <w:rsid w:val="00ADE701"/>
    <w:rsid w:val="00AE0185"/>
    <w:rsid w:val="00AE0873"/>
    <w:rsid w:val="00AE0A1A"/>
    <w:rsid w:val="00AE0A6C"/>
    <w:rsid w:val="00AE0C28"/>
    <w:rsid w:val="00AE0DEA"/>
    <w:rsid w:val="00AE0E34"/>
    <w:rsid w:val="00AE145B"/>
    <w:rsid w:val="00AE1B26"/>
    <w:rsid w:val="00AE2391"/>
    <w:rsid w:val="00AE25ED"/>
    <w:rsid w:val="00AE289D"/>
    <w:rsid w:val="00AE43D9"/>
    <w:rsid w:val="00AE43F3"/>
    <w:rsid w:val="00AE4AE3"/>
    <w:rsid w:val="00AE4D73"/>
    <w:rsid w:val="00AE52B6"/>
    <w:rsid w:val="00AE52F1"/>
    <w:rsid w:val="00AE56D8"/>
    <w:rsid w:val="00AE5B6E"/>
    <w:rsid w:val="00AE6078"/>
    <w:rsid w:val="00AE608B"/>
    <w:rsid w:val="00AE614A"/>
    <w:rsid w:val="00AE6E05"/>
    <w:rsid w:val="00AE6FA0"/>
    <w:rsid w:val="00AE7387"/>
    <w:rsid w:val="00AE738E"/>
    <w:rsid w:val="00AE7AB7"/>
    <w:rsid w:val="00AE7D5B"/>
    <w:rsid w:val="00AE7FAF"/>
    <w:rsid w:val="00AF0217"/>
    <w:rsid w:val="00AF0373"/>
    <w:rsid w:val="00AF050B"/>
    <w:rsid w:val="00AF1088"/>
    <w:rsid w:val="00AF12B0"/>
    <w:rsid w:val="00AF12BE"/>
    <w:rsid w:val="00AF185E"/>
    <w:rsid w:val="00AF19E8"/>
    <w:rsid w:val="00AF19F7"/>
    <w:rsid w:val="00AF1AC4"/>
    <w:rsid w:val="00AF2BDC"/>
    <w:rsid w:val="00AF2E56"/>
    <w:rsid w:val="00AF304A"/>
    <w:rsid w:val="00AF30E7"/>
    <w:rsid w:val="00AF3136"/>
    <w:rsid w:val="00AF32D6"/>
    <w:rsid w:val="00AF3464"/>
    <w:rsid w:val="00AF3825"/>
    <w:rsid w:val="00AF3BA1"/>
    <w:rsid w:val="00AF3DEC"/>
    <w:rsid w:val="00AF416C"/>
    <w:rsid w:val="00AF4218"/>
    <w:rsid w:val="00AF42CD"/>
    <w:rsid w:val="00AF4A7D"/>
    <w:rsid w:val="00AF5246"/>
    <w:rsid w:val="00AF5653"/>
    <w:rsid w:val="00AF5828"/>
    <w:rsid w:val="00AF5BF0"/>
    <w:rsid w:val="00AF5CE4"/>
    <w:rsid w:val="00AF618F"/>
    <w:rsid w:val="00AF6502"/>
    <w:rsid w:val="00AF683C"/>
    <w:rsid w:val="00AF6843"/>
    <w:rsid w:val="00AF6AAD"/>
    <w:rsid w:val="00AF71EA"/>
    <w:rsid w:val="00AF7784"/>
    <w:rsid w:val="00AF78F0"/>
    <w:rsid w:val="00AF7A44"/>
    <w:rsid w:val="00AF7ED3"/>
    <w:rsid w:val="00AF7FA1"/>
    <w:rsid w:val="00B0039C"/>
    <w:rsid w:val="00B00548"/>
    <w:rsid w:val="00B005D4"/>
    <w:rsid w:val="00B0141A"/>
    <w:rsid w:val="00B01748"/>
    <w:rsid w:val="00B018EF"/>
    <w:rsid w:val="00B01ED0"/>
    <w:rsid w:val="00B0208B"/>
    <w:rsid w:val="00B023CE"/>
    <w:rsid w:val="00B02A86"/>
    <w:rsid w:val="00B02C83"/>
    <w:rsid w:val="00B02D6B"/>
    <w:rsid w:val="00B02EF0"/>
    <w:rsid w:val="00B030BC"/>
    <w:rsid w:val="00B03875"/>
    <w:rsid w:val="00B03B40"/>
    <w:rsid w:val="00B04338"/>
    <w:rsid w:val="00B0466D"/>
    <w:rsid w:val="00B04CF8"/>
    <w:rsid w:val="00B0500F"/>
    <w:rsid w:val="00B05341"/>
    <w:rsid w:val="00B05A8B"/>
    <w:rsid w:val="00B05F58"/>
    <w:rsid w:val="00B06177"/>
    <w:rsid w:val="00B061C0"/>
    <w:rsid w:val="00B06408"/>
    <w:rsid w:val="00B06738"/>
    <w:rsid w:val="00B06E8F"/>
    <w:rsid w:val="00B073E7"/>
    <w:rsid w:val="00B0741E"/>
    <w:rsid w:val="00B0744B"/>
    <w:rsid w:val="00B0747F"/>
    <w:rsid w:val="00B07990"/>
    <w:rsid w:val="00B07CF8"/>
    <w:rsid w:val="00B1077F"/>
    <w:rsid w:val="00B10E07"/>
    <w:rsid w:val="00B11AC8"/>
    <w:rsid w:val="00B11C37"/>
    <w:rsid w:val="00B1269D"/>
    <w:rsid w:val="00B12BAB"/>
    <w:rsid w:val="00B12BCC"/>
    <w:rsid w:val="00B12EF2"/>
    <w:rsid w:val="00B1310B"/>
    <w:rsid w:val="00B13AE9"/>
    <w:rsid w:val="00B13C48"/>
    <w:rsid w:val="00B13D70"/>
    <w:rsid w:val="00B13E07"/>
    <w:rsid w:val="00B13EBA"/>
    <w:rsid w:val="00B14243"/>
    <w:rsid w:val="00B142E9"/>
    <w:rsid w:val="00B143BE"/>
    <w:rsid w:val="00B144BB"/>
    <w:rsid w:val="00B146F5"/>
    <w:rsid w:val="00B14E17"/>
    <w:rsid w:val="00B14EC3"/>
    <w:rsid w:val="00B152CA"/>
    <w:rsid w:val="00B15744"/>
    <w:rsid w:val="00B15888"/>
    <w:rsid w:val="00B159A4"/>
    <w:rsid w:val="00B16512"/>
    <w:rsid w:val="00B16DCA"/>
    <w:rsid w:val="00B1788B"/>
    <w:rsid w:val="00B17A82"/>
    <w:rsid w:val="00B21258"/>
    <w:rsid w:val="00B212E1"/>
    <w:rsid w:val="00B21733"/>
    <w:rsid w:val="00B219B8"/>
    <w:rsid w:val="00B21A60"/>
    <w:rsid w:val="00B21CF0"/>
    <w:rsid w:val="00B21EFC"/>
    <w:rsid w:val="00B21FCC"/>
    <w:rsid w:val="00B2205B"/>
    <w:rsid w:val="00B22C38"/>
    <w:rsid w:val="00B231B4"/>
    <w:rsid w:val="00B232EA"/>
    <w:rsid w:val="00B23586"/>
    <w:rsid w:val="00B236F7"/>
    <w:rsid w:val="00B23753"/>
    <w:rsid w:val="00B237E4"/>
    <w:rsid w:val="00B23B14"/>
    <w:rsid w:val="00B23E80"/>
    <w:rsid w:val="00B23F3B"/>
    <w:rsid w:val="00B23F79"/>
    <w:rsid w:val="00B24033"/>
    <w:rsid w:val="00B242D3"/>
    <w:rsid w:val="00B247CF"/>
    <w:rsid w:val="00B247E4"/>
    <w:rsid w:val="00B24827"/>
    <w:rsid w:val="00B24ADB"/>
    <w:rsid w:val="00B24CE6"/>
    <w:rsid w:val="00B25862"/>
    <w:rsid w:val="00B25AA1"/>
    <w:rsid w:val="00B25B6C"/>
    <w:rsid w:val="00B2602C"/>
    <w:rsid w:val="00B26348"/>
    <w:rsid w:val="00B263A5"/>
    <w:rsid w:val="00B26ADF"/>
    <w:rsid w:val="00B26AE7"/>
    <w:rsid w:val="00B2724B"/>
    <w:rsid w:val="00B273B3"/>
    <w:rsid w:val="00B27885"/>
    <w:rsid w:val="00B3023A"/>
    <w:rsid w:val="00B3031F"/>
    <w:rsid w:val="00B3085E"/>
    <w:rsid w:val="00B30A64"/>
    <w:rsid w:val="00B30AB7"/>
    <w:rsid w:val="00B30EA5"/>
    <w:rsid w:val="00B30F12"/>
    <w:rsid w:val="00B313AB"/>
    <w:rsid w:val="00B315C8"/>
    <w:rsid w:val="00B31BC1"/>
    <w:rsid w:val="00B31E4C"/>
    <w:rsid w:val="00B3216A"/>
    <w:rsid w:val="00B327DE"/>
    <w:rsid w:val="00B32848"/>
    <w:rsid w:val="00B32949"/>
    <w:rsid w:val="00B33005"/>
    <w:rsid w:val="00B33122"/>
    <w:rsid w:val="00B33731"/>
    <w:rsid w:val="00B337B6"/>
    <w:rsid w:val="00B338B7"/>
    <w:rsid w:val="00B3397C"/>
    <w:rsid w:val="00B33D21"/>
    <w:rsid w:val="00B3454A"/>
    <w:rsid w:val="00B348B0"/>
    <w:rsid w:val="00B34D2F"/>
    <w:rsid w:val="00B34EA8"/>
    <w:rsid w:val="00B35007"/>
    <w:rsid w:val="00B35210"/>
    <w:rsid w:val="00B35675"/>
    <w:rsid w:val="00B35F0E"/>
    <w:rsid w:val="00B36738"/>
    <w:rsid w:val="00B36769"/>
    <w:rsid w:val="00B367BD"/>
    <w:rsid w:val="00B36A9E"/>
    <w:rsid w:val="00B36FA5"/>
    <w:rsid w:val="00B371A4"/>
    <w:rsid w:val="00B37694"/>
    <w:rsid w:val="00B37894"/>
    <w:rsid w:val="00B37E1B"/>
    <w:rsid w:val="00B403E1"/>
    <w:rsid w:val="00B40B7D"/>
    <w:rsid w:val="00B412A4"/>
    <w:rsid w:val="00B41569"/>
    <w:rsid w:val="00B41A6D"/>
    <w:rsid w:val="00B41C10"/>
    <w:rsid w:val="00B41CF7"/>
    <w:rsid w:val="00B42518"/>
    <w:rsid w:val="00B42621"/>
    <w:rsid w:val="00B42651"/>
    <w:rsid w:val="00B428C3"/>
    <w:rsid w:val="00B42AFA"/>
    <w:rsid w:val="00B42C1E"/>
    <w:rsid w:val="00B4355F"/>
    <w:rsid w:val="00B43708"/>
    <w:rsid w:val="00B43A05"/>
    <w:rsid w:val="00B43E46"/>
    <w:rsid w:val="00B43F5C"/>
    <w:rsid w:val="00B43FD2"/>
    <w:rsid w:val="00B44211"/>
    <w:rsid w:val="00B4580B"/>
    <w:rsid w:val="00B46778"/>
    <w:rsid w:val="00B467DB"/>
    <w:rsid w:val="00B46863"/>
    <w:rsid w:val="00B47203"/>
    <w:rsid w:val="00B472BD"/>
    <w:rsid w:val="00B4751E"/>
    <w:rsid w:val="00B475D1"/>
    <w:rsid w:val="00B47B2D"/>
    <w:rsid w:val="00B50A30"/>
    <w:rsid w:val="00B50C16"/>
    <w:rsid w:val="00B50ED6"/>
    <w:rsid w:val="00B516FF"/>
    <w:rsid w:val="00B51FCA"/>
    <w:rsid w:val="00B521FA"/>
    <w:rsid w:val="00B522B3"/>
    <w:rsid w:val="00B5268C"/>
    <w:rsid w:val="00B52717"/>
    <w:rsid w:val="00B52B57"/>
    <w:rsid w:val="00B52E7D"/>
    <w:rsid w:val="00B53124"/>
    <w:rsid w:val="00B53592"/>
    <w:rsid w:val="00B5367C"/>
    <w:rsid w:val="00B536B1"/>
    <w:rsid w:val="00B53BA8"/>
    <w:rsid w:val="00B54985"/>
    <w:rsid w:val="00B54B69"/>
    <w:rsid w:val="00B54E70"/>
    <w:rsid w:val="00B54E84"/>
    <w:rsid w:val="00B5576C"/>
    <w:rsid w:val="00B56C86"/>
    <w:rsid w:val="00B5724F"/>
    <w:rsid w:val="00B5770A"/>
    <w:rsid w:val="00B578D3"/>
    <w:rsid w:val="00B602A2"/>
    <w:rsid w:val="00B6074A"/>
    <w:rsid w:val="00B60886"/>
    <w:rsid w:val="00B60E2E"/>
    <w:rsid w:val="00B612E3"/>
    <w:rsid w:val="00B6182A"/>
    <w:rsid w:val="00B61BBB"/>
    <w:rsid w:val="00B61F3A"/>
    <w:rsid w:val="00B61FC9"/>
    <w:rsid w:val="00B62059"/>
    <w:rsid w:val="00B623DB"/>
    <w:rsid w:val="00B62479"/>
    <w:rsid w:val="00B62578"/>
    <w:rsid w:val="00B62B37"/>
    <w:rsid w:val="00B62DAB"/>
    <w:rsid w:val="00B6305E"/>
    <w:rsid w:val="00B63254"/>
    <w:rsid w:val="00B6342A"/>
    <w:rsid w:val="00B63C5D"/>
    <w:rsid w:val="00B63C94"/>
    <w:rsid w:val="00B6417B"/>
    <w:rsid w:val="00B64492"/>
    <w:rsid w:val="00B64976"/>
    <w:rsid w:val="00B64A54"/>
    <w:rsid w:val="00B64DCE"/>
    <w:rsid w:val="00B64E50"/>
    <w:rsid w:val="00B64FBF"/>
    <w:rsid w:val="00B6559A"/>
    <w:rsid w:val="00B658A7"/>
    <w:rsid w:val="00B65916"/>
    <w:rsid w:val="00B66066"/>
    <w:rsid w:val="00B66F3C"/>
    <w:rsid w:val="00B66FF5"/>
    <w:rsid w:val="00B6725A"/>
    <w:rsid w:val="00B67419"/>
    <w:rsid w:val="00B6757D"/>
    <w:rsid w:val="00B67947"/>
    <w:rsid w:val="00B67C17"/>
    <w:rsid w:val="00B67E60"/>
    <w:rsid w:val="00B67EDA"/>
    <w:rsid w:val="00B70115"/>
    <w:rsid w:val="00B701A3"/>
    <w:rsid w:val="00B704C4"/>
    <w:rsid w:val="00B70A98"/>
    <w:rsid w:val="00B71313"/>
    <w:rsid w:val="00B71599"/>
    <w:rsid w:val="00B71D76"/>
    <w:rsid w:val="00B71E6F"/>
    <w:rsid w:val="00B7251E"/>
    <w:rsid w:val="00B72C50"/>
    <w:rsid w:val="00B7350F"/>
    <w:rsid w:val="00B73744"/>
    <w:rsid w:val="00B74A95"/>
    <w:rsid w:val="00B74B8A"/>
    <w:rsid w:val="00B758B3"/>
    <w:rsid w:val="00B75C62"/>
    <w:rsid w:val="00B75E68"/>
    <w:rsid w:val="00B766ED"/>
    <w:rsid w:val="00B76838"/>
    <w:rsid w:val="00B7685D"/>
    <w:rsid w:val="00B76CD5"/>
    <w:rsid w:val="00B76DC4"/>
    <w:rsid w:val="00B778B3"/>
    <w:rsid w:val="00B77D37"/>
    <w:rsid w:val="00B8071A"/>
    <w:rsid w:val="00B80A59"/>
    <w:rsid w:val="00B8165F"/>
    <w:rsid w:val="00B81745"/>
    <w:rsid w:val="00B817B0"/>
    <w:rsid w:val="00B819D7"/>
    <w:rsid w:val="00B82768"/>
    <w:rsid w:val="00B82E53"/>
    <w:rsid w:val="00B8377C"/>
    <w:rsid w:val="00B842AF"/>
    <w:rsid w:val="00B84AEB"/>
    <w:rsid w:val="00B84AF9"/>
    <w:rsid w:val="00B84E18"/>
    <w:rsid w:val="00B8574B"/>
    <w:rsid w:val="00B858C1"/>
    <w:rsid w:val="00B85DDC"/>
    <w:rsid w:val="00B85E41"/>
    <w:rsid w:val="00B85ED9"/>
    <w:rsid w:val="00B85FE0"/>
    <w:rsid w:val="00B85FFC"/>
    <w:rsid w:val="00B86553"/>
    <w:rsid w:val="00B86C80"/>
    <w:rsid w:val="00B87A33"/>
    <w:rsid w:val="00B87B89"/>
    <w:rsid w:val="00B87F23"/>
    <w:rsid w:val="00B9022E"/>
    <w:rsid w:val="00B90249"/>
    <w:rsid w:val="00B90870"/>
    <w:rsid w:val="00B90AEE"/>
    <w:rsid w:val="00B91BBC"/>
    <w:rsid w:val="00B92356"/>
    <w:rsid w:val="00B92493"/>
    <w:rsid w:val="00B927FD"/>
    <w:rsid w:val="00B92A27"/>
    <w:rsid w:val="00B92C1B"/>
    <w:rsid w:val="00B92EBE"/>
    <w:rsid w:val="00B92ECA"/>
    <w:rsid w:val="00B92F16"/>
    <w:rsid w:val="00B93430"/>
    <w:rsid w:val="00B93825"/>
    <w:rsid w:val="00B93F0E"/>
    <w:rsid w:val="00B94814"/>
    <w:rsid w:val="00B94862"/>
    <w:rsid w:val="00B948CC"/>
    <w:rsid w:val="00B94CDE"/>
    <w:rsid w:val="00B94E70"/>
    <w:rsid w:val="00B95210"/>
    <w:rsid w:val="00B95F51"/>
    <w:rsid w:val="00B96102"/>
    <w:rsid w:val="00B963BA"/>
    <w:rsid w:val="00B970C0"/>
    <w:rsid w:val="00B97395"/>
    <w:rsid w:val="00B973F2"/>
    <w:rsid w:val="00B977D1"/>
    <w:rsid w:val="00B97C2C"/>
    <w:rsid w:val="00B97D31"/>
    <w:rsid w:val="00BA01E7"/>
    <w:rsid w:val="00BA057F"/>
    <w:rsid w:val="00BA0879"/>
    <w:rsid w:val="00BA1050"/>
    <w:rsid w:val="00BA108C"/>
    <w:rsid w:val="00BA10CC"/>
    <w:rsid w:val="00BA1AAF"/>
    <w:rsid w:val="00BA1E23"/>
    <w:rsid w:val="00BA1F6F"/>
    <w:rsid w:val="00BA21CE"/>
    <w:rsid w:val="00BA24A2"/>
    <w:rsid w:val="00BA2819"/>
    <w:rsid w:val="00BA2971"/>
    <w:rsid w:val="00BA2B02"/>
    <w:rsid w:val="00BA2D63"/>
    <w:rsid w:val="00BA2D8B"/>
    <w:rsid w:val="00BA4089"/>
    <w:rsid w:val="00BA4CA5"/>
    <w:rsid w:val="00BA4E86"/>
    <w:rsid w:val="00BA5E7D"/>
    <w:rsid w:val="00BA6674"/>
    <w:rsid w:val="00BA6C18"/>
    <w:rsid w:val="00BA6D0C"/>
    <w:rsid w:val="00BA6FF7"/>
    <w:rsid w:val="00BA72CB"/>
    <w:rsid w:val="00BA7511"/>
    <w:rsid w:val="00BB00D2"/>
    <w:rsid w:val="00BB053B"/>
    <w:rsid w:val="00BB0CDD"/>
    <w:rsid w:val="00BB1211"/>
    <w:rsid w:val="00BB129E"/>
    <w:rsid w:val="00BB12FA"/>
    <w:rsid w:val="00BB183E"/>
    <w:rsid w:val="00BB1964"/>
    <w:rsid w:val="00BB1E12"/>
    <w:rsid w:val="00BB215C"/>
    <w:rsid w:val="00BB259C"/>
    <w:rsid w:val="00BB262A"/>
    <w:rsid w:val="00BB2806"/>
    <w:rsid w:val="00BB2B90"/>
    <w:rsid w:val="00BB2E7E"/>
    <w:rsid w:val="00BB2FE3"/>
    <w:rsid w:val="00BB3DCB"/>
    <w:rsid w:val="00BB4003"/>
    <w:rsid w:val="00BB417E"/>
    <w:rsid w:val="00BB47F5"/>
    <w:rsid w:val="00BB483B"/>
    <w:rsid w:val="00BB489D"/>
    <w:rsid w:val="00BB48E9"/>
    <w:rsid w:val="00BB49AF"/>
    <w:rsid w:val="00BB4AC9"/>
    <w:rsid w:val="00BB5480"/>
    <w:rsid w:val="00BB5580"/>
    <w:rsid w:val="00BB5BCC"/>
    <w:rsid w:val="00BB5CDF"/>
    <w:rsid w:val="00BB623A"/>
    <w:rsid w:val="00BB6554"/>
    <w:rsid w:val="00BB697A"/>
    <w:rsid w:val="00BB7156"/>
    <w:rsid w:val="00BB73FD"/>
    <w:rsid w:val="00BB75A1"/>
    <w:rsid w:val="00BB7C1A"/>
    <w:rsid w:val="00BB7DEC"/>
    <w:rsid w:val="00BB7F66"/>
    <w:rsid w:val="00BC02D4"/>
    <w:rsid w:val="00BC0355"/>
    <w:rsid w:val="00BC0462"/>
    <w:rsid w:val="00BC096A"/>
    <w:rsid w:val="00BC1497"/>
    <w:rsid w:val="00BC1697"/>
    <w:rsid w:val="00BC170C"/>
    <w:rsid w:val="00BC179E"/>
    <w:rsid w:val="00BC1BA5"/>
    <w:rsid w:val="00BC1DAC"/>
    <w:rsid w:val="00BC2BFE"/>
    <w:rsid w:val="00BC367D"/>
    <w:rsid w:val="00BC399B"/>
    <w:rsid w:val="00BC4145"/>
    <w:rsid w:val="00BC4508"/>
    <w:rsid w:val="00BC4F38"/>
    <w:rsid w:val="00BC5423"/>
    <w:rsid w:val="00BC5BE4"/>
    <w:rsid w:val="00BC5CE9"/>
    <w:rsid w:val="00BC5F6F"/>
    <w:rsid w:val="00BC622F"/>
    <w:rsid w:val="00BC64C2"/>
    <w:rsid w:val="00BC6A33"/>
    <w:rsid w:val="00BC6B16"/>
    <w:rsid w:val="00BC6BB6"/>
    <w:rsid w:val="00BC7448"/>
    <w:rsid w:val="00BC7905"/>
    <w:rsid w:val="00BC7B34"/>
    <w:rsid w:val="00BC7F22"/>
    <w:rsid w:val="00BD0155"/>
    <w:rsid w:val="00BD0807"/>
    <w:rsid w:val="00BD0AA4"/>
    <w:rsid w:val="00BD142F"/>
    <w:rsid w:val="00BD14B4"/>
    <w:rsid w:val="00BD183B"/>
    <w:rsid w:val="00BD18F9"/>
    <w:rsid w:val="00BD21B4"/>
    <w:rsid w:val="00BD2CBA"/>
    <w:rsid w:val="00BD2D6A"/>
    <w:rsid w:val="00BD3121"/>
    <w:rsid w:val="00BD33C7"/>
    <w:rsid w:val="00BD38BC"/>
    <w:rsid w:val="00BD3A0E"/>
    <w:rsid w:val="00BD3B0C"/>
    <w:rsid w:val="00BD4B82"/>
    <w:rsid w:val="00BD4CA4"/>
    <w:rsid w:val="00BD5015"/>
    <w:rsid w:val="00BD59BC"/>
    <w:rsid w:val="00BD5C4B"/>
    <w:rsid w:val="00BD5FAE"/>
    <w:rsid w:val="00BD6947"/>
    <w:rsid w:val="00BD6E99"/>
    <w:rsid w:val="00BD6EDD"/>
    <w:rsid w:val="00BD6F33"/>
    <w:rsid w:val="00BD7877"/>
    <w:rsid w:val="00BD7EC4"/>
    <w:rsid w:val="00BE024B"/>
    <w:rsid w:val="00BE0407"/>
    <w:rsid w:val="00BE04F0"/>
    <w:rsid w:val="00BE078E"/>
    <w:rsid w:val="00BE0802"/>
    <w:rsid w:val="00BE129F"/>
    <w:rsid w:val="00BE1CF9"/>
    <w:rsid w:val="00BE266A"/>
    <w:rsid w:val="00BE2952"/>
    <w:rsid w:val="00BE2AE1"/>
    <w:rsid w:val="00BE2E3D"/>
    <w:rsid w:val="00BE3C26"/>
    <w:rsid w:val="00BE3CEF"/>
    <w:rsid w:val="00BE3D43"/>
    <w:rsid w:val="00BE4304"/>
    <w:rsid w:val="00BE43FD"/>
    <w:rsid w:val="00BE4A7A"/>
    <w:rsid w:val="00BE4E9E"/>
    <w:rsid w:val="00BE5472"/>
    <w:rsid w:val="00BE554B"/>
    <w:rsid w:val="00BE5948"/>
    <w:rsid w:val="00BE59DB"/>
    <w:rsid w:val="00BE5A80"/>
    <w:rsid w:val="00BE5D3B"/>
    <w:rsid w:val="00BE5F52"/>
    <w:rsid w:val="00BE613B"/>
    <w:rsid w:val="00BE61F8"/>
    <w:rsid w:val="00BE665E"/>
    <w:rsid w:val="00BE6E45"/>
    <w:rsid w:val="00BE7102"/>
    <w:rsid w:val="00BE7137"/>
    <w:rsid w:val="00BE7C2A"/>
    <w:rsid w:val="00BE7D26"/>
    <w:rsid w:val="00BE7D44"/>
    <w:rsid w:val="00BF04D6"/>
    <w:rsid w:val="00BF0A6B"/>
    <w:rsid w:val="00BF0C8E"/>
    <w:rsid w:val="00BF1A1D"/>
    <w:rsid w:val="00BF1AD4"/>
    <w:rsid w:val="00BF1DE2"/>
    <w:rsid w:val="00BF2112"/>
    <w:rsid w:val="00BF2D48"/>
    <w:rsid w:val="00BF2DE4"/>
    <w:rsid w:val="00BF2DFD"/>
    <w:rsid w:val="00BF36A2"/>
    <w:rsid w:val="00BF3D79"/>
    <w:rsid w:val="00BF4003"/>
    <w:rsid w:val="00BF418B"/>
    <w:rsid w:val="00BF47C2"/>
    <w:rsid w:val="00BF4FA5"/>
    <w:rsid w:val="00BF528D"/>
    <w:rsid w:val="00BF6225"/>
    <w:rsid w:val="00BF74D1"/>
    <w:rsid w:val="00BF7CBB"/>
    <w:rsid w:val="00C002C4"/>
    <w:rsid w:val="00C007F1"/>
    <w:rsid w:val="00C0084E"/>
    <w:rsid w:val="00C00D57"/>
    <w:rsid w:val="00C00E54"/>
    <w:rsid w:val="00C01450"/>
    <w:rsid w:val="00C01470"/>
    <w:rsid w:val="00C016E7"/>
    <w:rsid w:val="00C01FC2"/>
    <w:rsid w:val="00C02252"/>
    <w:rsid w:val="00C02CAB"/>
    <w:rsid w:val="00C02CCF"/>
    <w:rsid w:val="00C0307C"/>
    <w:rsid w:val="00C038ED"/>
    <w:rsid w:val="00C03B7E"/>
    <w:rsid w:val="00C0464B"/>
    <w:rsid w:val="00C04C4B"/>
    <w:rsid w:val="00C04E7E"/>
    <w:rsid w:val="00C0510A"/>
    <w:rsid w:val="00C05452"/>
    <w:rsid w:val="00C057DA"/>
    <w:rsid w:val="00C0584B"/>
    <w:rsid w:val="00C0591B"/>
    <w:rsid w:val="00C06573"/>
    <w:rsid w:val="00C066FA"/>
    <w:rsid w:val="00C06C71"/>
    <w:rsid w:val="00C07090"/>
    <w:rsid w:val="00C07DA8"/>
    <w:rsid w:val="00C07E75"/>
    <w:rsid w:val="00C07EE4"/>
    <w:rsid w:val="00C07F71"/>
    <w:rsid w:val="00C07F8C"/>
    <w:rsid w:val="00C10204"/>
    <w:rsid w:val="00C104B9"/>
    <w:rsid w:val="00C10606"/>
    <w:rsid w:val="00C10927"/>
    <w:rsid w:val="00C10C6F"/>
    <w:rsid w:val="00C112F3"/>
    <w:rsid w:val="00C11876"/>
    <w:rsid w:val="00C11927"/>
    <w:rsid w:val="00C11963"/>
    <w:rsid w:val="00C11A3E"/>
    <w:rsid w:val="00C11B5A"/>
    <w:rsid w:val="00C11C11"/>
    <w:rsid w:val="00C11C18"/>
    <w:rsid w:val="00C11DE9"/>
    <w:rsid w:val="00C11EFE"/>
    <w:rsid w:val="00C120E3"/>
    <w:rsid w:val="00C12330"/>
    <w:rsid w:val="00C1259B"/>
    <w:rsid w:val="00C12969"/>
    <w:rsid w:val="00C132FC"/>
    <w:rsid w:val="00C13394"/>
    <w:rsid w:val="00C13637"/>
    <w:rsid w:val="00C13687"/>
    <w:rsid w:val="00C146CB"/>
    <w:rsid w:val="00C149CD"/>
    <w:rsid w:val="00C14F4B"/>
    <w:rsid w:val="00C15129"/>
    <w:rsid w:val="00C15668"/>
    <w:rsid w:val="00C15869"/>
    <w:rsid w:val="00C15DC1"/>
    <w:rsid w:val="00C16128"/>
    <w:rsid w:val="00C162D8"/>
    <w:rsid w:val="00C164F3"/>
    <w:rsid w:val="00C16A76"/>
    <w:rsid w:val="00C1712C"/>
    <w:rsid w:val="00C17479"/>
    <w:rsid w:val="00C1763E"/>
    <w:rsid w:val="00C17B8B"/>
    <w:rsid w:val="00C17E17"/>
    <w:rsid w:val="00C17FA9"/>
    <w:rsid w:val="00C200F9"/>
    <w:rsid w:val="00C2029C"/>
    <w:rsid w:val="00C20341"/>
    <w:rsid w:val="00C2051D"/>
    <w:rsid w:val="00C209B8"/>
    <w:rsid w:val="00C20E58"/>
    <w:rsid w:val="00C21513"/>
    <w:rsid w:val="00C215AB"/>
    <w:rsid w:val="00C2197E"/>
    <w:rsid w:val="00C21A97"/>
    <w:rsid w:val="00C21F74"/>
    <w:rsid w:val="00C2212E"/>
    <w:rsid w:val="00C22975"/>
    <w:rsid w:val="00C22BAB"/>
    <w:rsid w:val="00C23144"/>
    <w:rsid w:val="00C231D1"/>
    <w:rsid w:val="00C232A3"/>
    <w:rsid w:val="00C237C1"/>
    <w:rsid w:val="00C23811"/>
    <w:rsid w:val="00C239E2"/>
    <w:rsid w:val="00C2466E"/>
    <w:rsid w:val="00C249BA"/>
    <w:rsid w:val="00C25352"/>
    <w:rsid w:val="00C2572D"/>
    <w:rsid w:val="00C25D34"/>
    <w:rsid w:val="00C25EDA"/>
    <w:rsid w:val="00C26085"/>
    <w:rsid w:val="00C26212"/>
    <w:rsid w:val="00C26A87"/>
    <w:rsid w:val="00C2702F"/>
    <w:rsid w:val="00C27DAA"/>
    <w:rsid w:val="00C3045F"/>
    <w:rsid w:val="00C308C8"/>
    <w:rsid w:val="00C30C45"/>
    <w:rsid w:val="00C311D8"/>
    <w:rsid w:val="00C3169F"/>
    <w:rsid w:val="00C318B6"/>
    <w:rsid w:val="00C31BAD"/>
    <w:rsid w:val="00C31BE2"/>
    <w:rsid w:val="00C31C83"/>
    <w:rsid w:val="00C31E74"/>
    <w:rsid w:val="00C32702"/>
    <w:rsid w:val="00C3280D"/>
    <w:rsid w:val="00C32D18"/>
    <w:rsid w:val="00C3340E"/>
    <w:rsid w:val="00C33642"/>
    <w:rsid w:val="00C33788"/>
    <w:rsid w:val="00C337E1"/>
    <w:rsid w:val="00C340F2"/>
    <w:rsid w:val="00C34113"/>
    <w:rsid w:val="00C34620"/>
    <w:rsid w:val="00C34E9B"/>
    <w:rsid w:val="00C35A89"/>
    <w:rsid w:val="00C360E1"/>
    <w:rsid w:val="00C367A9"/>
    <w:rsid w:val="00C3691C"/>
    <w:rsid w:val="00C371CE"/>
    <w:rsid w:val="00C3750A"/>
    <w:rsid w:val="00C375DA"/>
    <w:rsid w:val="00C37F8A"/>
    <w:rsid w:val="00C404F0"/>
    <w:rsid w:val="00C40528"/>
    <w:rsid w:val="00C40825"/>
    <w:rsid w:val="00C40ED2"/>
    <w:rsid w:val="00C4116F"/>
    <w:rsid w:val="00C4122D"/>
    <w:rsid w:val="00C41284"/>
    <w:rsid w:val="00C41473"/>
    <w:rsid w:val="00C41D33"/>
    <w:rsid w:val="00C42104"/>
    <w:rsid w:val="00C425F6"/>
    <w:rsid w:val="00C430AA"/>
    <w:rsid w:val="00C434DD"/>
    <w:rsid w:val="00C43707"/>
    <w:rsid w:val="00C4388B"/>
    <w:rsid w:val="00C43B3D"/>
    <w:rsid w:val="00C43DE1"/>
    <w:rsid w:val="00C43FDA"/>
    <w:rsid w:val="00C4419B"/>
    <w:rsid w:val="00C44404"/>
    <w:rsid w:val="00C44A9F"/>
    <w:rsid w:val="00C44D99"/>
    <w:rsid w:val="00C45002"/>
    <w:rsid w:val="00C450F6"/>
    <w:rsid w:val="00C45672"/>
    <w:rsid w:val="00C45EB0"/>
    <w:rsid w:val="00C4645E"/>
    <w:rsid w:val="00C46654"/>
    <w:rsid w:val="00C475C0"/>
    <w:rsid w:val="00C47AB0"/>
    <w:rsid w:val="00C47C4C"/>
    <w:rsid w:val="00C50062"/>
    <w:rsid w:val="00C50138"/>
    <w:rsid w:val="00C504B3"/>
    <w:rsid w:val="00C50691"/>
    <w:rsid w:val="00C50D12"/>
    <w:rsid w:val="00C510C8"/>
    <w:rsid w:val="00C51179"/>
    <w:rsid w:val="00C5202C"/>
    <w:rsid w:val="00C52085"/>
    <w:rsid w:val="00C522E6"/>
    <w:rsid w:val="00C52538"/>
    <w:rsid w:val="00C52D42"/>
    <w:rsid w:val="00C52EE1"/>
    <w:rsid w:val="00C5311E"/>
    <w:rsid w:val="00C53359"/>
    <w:rsid w:val="00C54641"/>
    <w:rsid w:val="00C552E9"/>
    <w:rsid w:val="00C5551B"/>
    <w:rsid w:val="00C555AB"/>
    <w:rsid w:val="00C555C2"/>
    <w:rsid w:val="00C55679"/>
    <w:rsid w:val="00C5574B"/>
    <w:rsid w:val="00C557EA"/>
    <w:rsid w:val="00C55A6C"/>
    <w:rsid w:val="00C55AE5"/>
    <w:rsid w:val="00C5616A"/>
    <w:rsid w:val="00C565E0"/>
    <w:rsid w:val="00C568F5"/>
    <w:rsid w:val="00C56D9A"/>
    <w:rsid w:val="00C57212"/>
    <w:rsid w:val="00C57CC5"/>
    <w:rsid w:val="00C60246"/>
    <w:rsid w:val="00C604B9"/>
    <w:rsid w:val="00C60D60"/>
    <w:rsid w:val="00C60E8F"/>
    <w:rsid w:val="00C60FDA"/>
    <w:rsid w:val="00C6134D"/>
    <w:rsid w:val="00C61CEC"/>
    <w:rsid w:val="00C620DF"/>
    <w:rsid w:val="00C62F09"/>
    <w:rsid w:val="00C62F5E"/>
    <w:rsid w:val="00C62FAB"/>
    <w:rsid w:val="00C6368E"/>
    <w:rsid w:val="00C63910"/>
    <w:rsid w:val="00C63FAD"/>
    <w:rsid w:val="00C645A4"/>
    <w:rsid w:val="00C64A1B"/>
    <w:rsid w:val="00C64D0F"/>
    <w:rsid w:val="00C64F54"/>
    <w:rsid w:val="00C654B8"/>
    <w:rsid w:val="00C65A76"/>
    <w:rsid w:val="00C660EB"/>
    <w:rsid w:val="00C666A0"/>
    <w:rsid w:val="00C67543"/>
    <w:rsid w:val="00C676F6"/>
    <w:rsid w:val="00C677B5"/>
    <w:rsid w:val="00C67B31"/>
    <w:rsid w:val="00C67BC8"/>
    <w:rsid w:val="00C67DC5"/>
    <w:rsid w:val="00C70ADC"/>
    <w:rsid w:val="00C71430"/>
    <w:rsid w:val="00C715A4"/>
    <w:rsid w:val="00C7182C"/>
    <w:rsid w:val="00C7186B"/>
    <w:rsid w:val="00C71BAA"/>
    <w:rsid w:val="00C721AA"/>
    <w:rsid w:val="00C721E1"/>
    <w:rsid w:val="00C72799"/>
    <w:rsid w:val="00C728AC"/>
    <w:rsid w:val="00C73317"/>
    <w:rsid w:val="00C73376"/>
    <w:rsid w:val="00C74032"/>
    <w:rsid w:val="00C74A55"/>
    <w:rsid w:val="00C74C47"/>
    <w:rsid w:val="00C74DB4"/>
    <w:rsid w:val="00C74F65"/>
    <w:rsid w:val="00C75C72"/>
    <w:rsid w:val="00C765D1"/>
    <w:rsid w:val="00C765D5"/>
    <w:rsid w:val="00C7782D"/>
    <w:rsid w:val="00C779E3"/>
    <w:rsid w:val="00C77F3B"/>
    <w:rsid w:val="00C80D83"/>
    <w:rsid w:val="00C82109"/>
    <w:rsid w:val="00C82480"/>
    <w:rsid w:val="00C8264C"/>
    <w:rsid w:val="00C83221"/>
    <w:rsid w:val="00C833AF"/>
    <w:rsid w:val="00C838D3"/>
    <w:rsid w:val="00C83BCF"/>
    <w:rsid w:val="00C842A7"/>
    <w:rsid w:val="00C84B9E"/>
    <w:rsid w:val="00C84DC2"/>
    <w:rsid w:val="00C85022"/>
    <w:rsid w:val="00C850BB"/>
    <w:rsid w:val="00C8555E"/>
    <w:rsid w:val="00C85583"/>
    <w:rsid w:val="00C85C1D"/>
    <w:rsid w:val="00C8616F"/>
    <w:rsid w:val="00C861CA"/>
    <w:rsid w:val="00C86249"/>
    <w:rsid w:val="00C86463"/>
    <w:rsid w:val="00C86A6E"/>
    <w:rsid w:val="00C86D02"/>
    <w:rsid w:val="00C872FD"/>
    <w:rsid w:val="00C873C9"/>
    <w:rsid w:val="00C87FB1"/>
    <w:rsid w:val="00C90005"/>
    <w:rsid w:val="00C90BE8"/>
    <w:rsid w:val="00C90C59"/>
    <w:rsid w:val="00C90F0D"/>
    <w:rsid w:val="00C9113B"/>
    <w:rsid w:val="00C914CD"/>
    <w:rsid w:val="00C91761"/>
    <w:rsid w:val="00C9176C"/>
    <w:rsid w:val="00C91814"/>
    <w:rsid w:val="00C91FB5"/>
    <w:rsid w:val="00C921B1"/>
    <w:rsid w:val="00C92637"/>
    <w:rsid w:val="00C92B69"/>
    <w:rsid w:val="00C92C34"/>
    <w:rsid w:val="00C9342B"/>
    <w:rsid w:val="00C93713"/>
    <w:rsid w:val="00C93BF2"/>
    <w:rsid w:val="00C93D43"/>
    <w:rsid w:val="00C94639"/>
    <w:rsid w:val="00C94D63"/>
    <w:rsid w:val="00C94F53"/>
    <w:rsid w:val="00C961A3"/>
    <w:rsid w:val="00C9624F"/>
    <w:rsid w:val="00C96272"/>
    <w:rsid w:val="00C96885"/>
    <w:rsid w:val="00C96C50"/>
    <w:rsid w:val="00C96FD7"/>
    <w:rsid w:val="00C97484"/>
    <w:rsid w:val="00CA00C8"/>
    <w:rsid w:val="00CA00FC"/>
    <w:rsid w:val="00CA0121"/>
    <w:rsid w:val="00CA08CC"/>
    <w:rsid w:val="00CA0EBC"/>
    <w:rsid w:val="00CA0F58"/>
    <w:rsid w:val="00CA1005"/>
    <w:rsid w:val="00CA1937"/>
    <w:rsid w:val="00CA22A2"/>
    <w:rsid w:val="00CA29DC"/>
    <w:rsid w:val="00CA2B08"/>
    <w:rsid w:val="00CA3116"/>
    <w:rsid w:val="00CA34BE"/>
    <w:rsid w:val="00CA356F"/>
    <w:rsid w:val="00CA3BB3"/>
    <w:rsid w:val="00CA3C41"/>
    <w:rsid w:val="00CA3DC0"/>
    <w:rsid w:val="00CA4066"/>
    <w:rsid w:val="00CA42B3"/>
    <w:rsid w:val="00CA45E0"/>
    <w:rsid w:val="00CA48C7"/>
    <w:rsid w:val="00CA4A23"/>
    <w:rsid w:val="00CA5944"/>
    <w:rsid w:val="00CA5A51"/>
    <w:rsid w:val="00CA5B0E"/>
    <w:rsid w:val="00CA5EB4"/>
    <w:rsid w:val="00CA619F"/>
    <w:rsid w:val="00CA6E8A"/>
    <w:rsid w:val="00CA7034"/>
    <w:rsid w:val="00CA74C7"/>
    <w:rsid w:val="00CA7EE0"/>
    <w:rsid w:val="00CB0083"/>
    <w:rsid w:val="00CB04F6"/>
    <w:rsid w:val="00CB058F"/>
    <w:rsid w:val="00CB0980"/>
    <w:rsid w:val="00CB0C02"/>
    <w:rsid w:val="00CB0C87"/>
    <w:rsid w:val="00CB131F"/>
    <w:rsid w:val="00CB1509"/>
    <w:rsid w:val="00CB15A9"/>
    <w:rsid w:val="00CB1639"/>
    <w:rsid w:val="00CB16DA"/>
    <w:rsid w:val="00CB1DE5"/>
    <w:rsid w:val="00CB23FD"/>
    <w:rsid w:val="00CB2505"/>
    <w:rsid w:val="00CB256E"/>
    <w:rsid w:val="00CB2632"/>
    <w:rsid w:val="00CB292A"/>
    <w:rsid w:val="00CB2BA0"/>
    <w:rsid w:val="00CB3BDF"/>
    <w:rsid w:val="00CB3C62"/>
    <w:rsid w:val="00CB4442"/>
    <w:rsid w:val="00CB445B"/>
    <w:rsid w:val="00CB5474"/>
    <w:rsid w:val="00CB576C"/>
    <w:rsid w:val="00CB5982"/>
    <w:rsid w:val="00CB5C09"/>
    <w:rsid w:val="00CB6331"/>
    <w:rsid w:val="00CB633F"/>
    <w:rsid w:val="00CB643E"/>
    <w:rsid w:val="00CB6449"/>
    <w:rsid w:val="00CB657B"/>
    <w:rsid w:val="00CB6B0D"/>
    <w:rsid w:val="00CB6F61"/>
    <w:rsid w:val="00CC0082"/>
    <w:rsid w:val="00CC0AA5"/>
    <w:rsid w:val="00CC0E14"/>
    <w:rsid w:val="00CC12F3"/>
    <w:rsid w:val="00CC1D49"/>
    <w:rsid w:val="00CC1DE8"/>
    <w:rsid w:val="00CC20CB"/>
    <w:rsid w:val="00CC2D23"/>
    <w:rsid w:val="00CC2F47"/>
    <w:rsid w:val="00CC329C"/>
    <w:rsid w:val="00CC3480"/>
    <w:rsid w:val="00CC3753"/>
    <w:rsid w:val="00CC5066"/>
    <w:rsid w:val="00CC5415"/>
    <w:rsid w:val="00CC58B2"/>
    <w:rsid w:val="00CC5A4D"/>
    <w:rsid w:val="00CC60A6"/>
    <w:rsid w:val="00CC74B1"/>
    <w:rsid w:val="00CC74FE"/>
    <w:rsid w:val="00CC7513"/>
    <w:rsid w:val="00CC793E"/>
    <w:rsid w:val="00CC7B82"/>
    <w:rsid w:val="00CD00E1"/>
    <w:rsid w:val="00CD0362"/>
    <w:rsid w:val="00CD0776"/>
    <w:rsid w:val="00CD0845"/>
    <w:rsid w:val="00CD088A"/>
    <w:rsid w:val="00CD1D14"/>
    <w:rsid w:val="00CD2433"/>
    <w:rsid w:val="00CD2AEA"/>
    <w:rsid w:val="00CD2B21"/>
    <w:rsid w:val="00CD335B"/>
    <w:rsid w:val="00CD3865"/>
    <w:rsid w:val="00CD38CA"/>
    <w:rsid w:val="00CD40E9"/>
    <w:rsid w:val="00CD4B19"/>
    <w:rsid w:val="00CD4B30"/>
    <w:rsid w:val="00CD4C4C"/>
    <w:rsid w:val="00CD4D9B"/>
    <w:rsid w:val="00CD512F"/>
    <w:rsid w:val="00CD51A2"/>
    <w:rsid w:val="00CD558E"/>
    <w:rsid w:val="00CD5883"/>
    <w:rsid w:val="00CD5B88"/>
    <w:rsid w:val="00CD61FD"/>
    <w:rsid w:val="00CD6907"/>
    <w:rsid w:val="00CD6AF9"/>
    <w:rsid w:val="00CD6D52"/>
    <w:rsid w:val="00CD78DC"/>
    <w:rsid w:val="00CD7ADB"/>
    <w:rsid w:val="00CD7F2E"/>
    <w:rsid w:val="00CE0149"/>
    <w:rsid w:val="00CE0593"/>
    <w:rsid w:val="00CE0604"/>
    <w:rsid w:val="00CE0796"/>
    <w:rsid w:val="00CE0A74"/>
    <w:rsid w:val="00CE0BBE"/>
    <w:rsid w:val="00CE10A3"/>
    <w:rsid w:val="00CE11C2"/>
    <w:rsid w:val="00CE1379"/>
    <w:rsid w:val="00CE13E5"/>
    <w:rsid w:val="00CE15D1"/>
    <w:rsid w:val="00CE2083"/>
    <w:rsid w:val="00CE2455"/>
    <w:rsid w:val="00CE24C9"/>
    <w:rsid w:val="00CE26BE"/>
    <w:rsid w:val="00CE2D2C"/>
    <w:rsid w:val="00CE30C9"/>
    <w:rsid w:val="00CE38B0"/>
    <w:rsid w:val="00CE3946"/>
    <w:rsid w:val="00CE3AD7"/>
    <w:rsid w:val="00CE4064"/>
    <w:rsid w:val="00CE47AA"/>
    <w:rsid w:val="00CE48D9"/>
    <w:rsid w:val="00CE4CD2"/>
    <w:rsid w:val="00CE5295"/>
    <w:rsid w:val="00CE53E8"/>
    <w:rsid w:val="00CE55C7"/>
    <w:rsid w:val="00CE622A"/>
    <w:rsid w:val="00CE6823"/>
    <w:rsid w:val="00CE69C9"/>
    <w:rsid w:val="00CE71A6"/>
    <w:rsid w:val="00CE7F2A"/>
    <w:rsid w:val="00CF04D9"/>
    <w:rsid w:val="00CF17A5"/>
    <w:rsid w:val="00CF1DF0"/>
    <w:rsid w:val="00CF2333"/>
    <w:rsid w:val="00CF2D90"/>
    <w:rsid w:val="00CF2F66"/>
    <w:rsid w:val="00CF350A"/>
    <w:rsid w:val="00CF350C"/>
    <w:rsid w:val="00CF36E3"/>
    <w:rsid w:val="00CF390C"/>
    <w:rsid w:val="00CF3F74"/>
    <w:rsid w:val="00CF4498"/>
    <w:rsid w:val="00CF44DC"/>
    <w:rsid w:val="00CF47A4"/>
    <w:rsid w:val="00CF52FC"/>
    <w:rsid w:val="00CF5CC9"/>
    <w:rsid w:val="00CF5D01"/>
    <w:rsid w:val="00CF5F80"/>
    <w:rsid w:val="00CF62B1"/>
    <w:rsid w:val="00CF6553"/>
    <w:rsid w:val="00CF6C37"/>
    <w:rsid w:val="00CF710D"/>
    <w:rsid w:val="00CF7A48"/>
    <w:rsid w:val="00CF7AE4"/>
    <w:rsid w:val="00CF7B21"/>
    <w:rsid w:val="00CF7F59"/>
    <w:rsid w:val="00D00989"/>
    <w:rsid w:val="00D0123F"/>
    <w:rsid w:val="00D01466"/>
    <w:rsid w:val="00D0164D"/>
    <w:rsid w:val="00D01EB1"/>
    <w:rsid w:val="00D0206B"/>
    <w:rsid w:val="00D0226E"/>
    <w:rsid w:val="00D02853"/>
    <w:rsid w:val="00D02F75"/>
    <w:rsid w:val="00D03ACF"/>
    <w:rsid w:val="00D03B0B"/>
    <w:rsid w:val="00D03DF7"/>
    <w:rsid w:val="00D042AC"/>
    <w:rsid w:val="00D0430C"/>
    <w:rsid w:val="00D04531"/>
    <w:rsid w:val="00D04913"/>
    <w:rsid w:val="00D049F7"/>
    <w:rsid w:val="00D04A16"/>
    <w:rsid w:val="00D04C58"/>
    <w:rsid w:val="00D04FEC"/>
    <w:rsid w:val="00D050DD"/>
    <w:rsid w:val="00D0550F"/>
    <w:rsid w:val="00D0556B"/>
    <w:rsid w:val="00D055DD"/>
    <w:rsid w:val="00D05DBD"/>
    <w:rsid w:val="00D06098"/>
    <w:rsid w:val="00D062BD"/>
    <w:rsid w:val="00D062C9"/>
    <w:rsid w:val="00D067DE"/>
    <w:rsid w:val="00D06C62"/>
    <w:rsid w:val="00D06D24"/>
    <w:rsid w:val="00D06D26"/>
    <w:rsid w:val="00D06F7B"/>
    <w:rsid w:val="00D07814"/>
    <w:rsid w:val="00D07858"/>
    <w:rsid w:val="00D102AD"/>
    <w:rsid w:val="00D107A7"/>
    <w:rsid w:val="00D11268"/>
    <w:rsid w:val="00D116F9"/>
    <w:rsid w:val="00D1192D"/>
    <w:rsid w:val="00D11A28"/>
    <w:rsid w:val="00D11AB0"/>
    <w:rsid w:val="00D11AD9"/>
    <w:rsid w:val="00D11C4B"/>
    <w:rsid w:val="00D12503"/>
    <w:rsid w:val="00D12E2F"/>
    <w:rsid w:val="00D12FF6"/>
    <w:rsid w:val="00D13760"/>
    <w:rsid w:val="00D13AA2"/>
    <w:rsid w:val="00D141BA"/>
    <w:rsid w:val="00D14973"/>
    <w:rsid w:val="00D14A38"/>
    <w:rsid w:val="00D14C23"/>
    <w:rsid w:val="00D14CE7"/>
    <w:rsid w:val="00D15033"/>
    <w:rsid w:val="00D154F6"/>
    <w:rsid w:val="00D15BFF"/>
    <w:rsid w:val="00D15C18"/>
    <w:rsid w:val="00D15F12"/>
    <w:rsid w:val="00D161E8"/>
    <w:rsid w:val="00D16C04"/>
    <w:rsid w:val="00D16D63"/>
    <w:rsid w:val="00D16DAD"/>
    <w:rsid w:val="00D16E31"/>
    <w:rsid w:val="00D16E7E"/>
    <w:rsid w:val="00D16F74"/>
    <w:rsid w:val="00D171AB"/>
    <w:rsid w:val="00D1731A"/>
    <w:rsid w:val="00D17532"/>
    <w:rsid w:val="00D1789E"/>
    <w:rsid w:val="00D17BDA"/>
    <w:rsid w:val="00D204E9"/>
    <w:rsid w:val="00D2098B"/>
    <w:rsid w:val="00D21109"/>
    <w:rsid w:val="00D2113D"/>
    <w:rsid w:val="00D2193B"/>
    <w:rsid w:val="00D219E4"/>
    <w:rsid w:val="00D21D50"/>
    <w:rsid w:val="00D21EFF"/>
    <w:rsid w:val="00D2222C"/>
    <w:rsid w:val="00D226A3"/>
    <w:rsid w:val="00D22DA6"/>
    <w:rsid w:val="00D22EB2"/>
    <w:rsid w:val="00D239EF"/>
    <w:rsid w:val="00D23A69"/>
    <w:rsid w:val="00D23D86"/>
    <w:rsid w:val="00D23FFD"/>
    <w:rsid w:val="00D241B0"/>
    <w:rsid w:val="00D247BA"/>
    <w:rsid w:val="00D24B4D"/>
    <w:rsid w:val="00D252FB"/>
    <w:rsid w:val="00D254E6"/>
    <w:rsid w:val="00D25626"/>
    <w:rsid w:val="00D25A49"/>
    <w:rsid w:val="00D25E4D"/>
    <w:rsid w:val="00D26651"/>
    <w:rsid w:val="00D26909"/>
    <w:rsid w:val="00D26A05"/>
    <w:rsid w:val="00D26BB5"/>
    <w:rsid w:val="00D26BD3"/>
    <w:rsid w:val="00D26EB3"/>
    <w:rsid w:val="00D270CE"/>
    <w:rsid w:val="00D270CF"/>
    <w:rsid w:val="00D316AF"/>
    <w:rsid w:val="00D31901"/>
    <w:rsid w:val="00D31B4F"/>
    <w:rsid w:val="00D32B47"/>
    <w:rsid w:val="00D32C18"/>
    <w:rsid w:val="00D32FCB"/>
    <w:rsid w:val="00D33704"/>
    <w:rsid w:val="00D339BE"/>
    <w:rsid w:val="00D33B3F"/>
    <w:rsid w:val="00D34288"/>
    <w:rsid w:val="00D3465A"/>
    <w:rsid w:val="00D35750"/>
    <w:rsid w:val="00D357D6"/>
    <w:rsid w:val="00D36362"/>
    <w:rsid w:val="00D36B27"/>
    <w:rsid w:val="00D377EF"/>
    <w:rsid w:val="00D37A0E"/>
    <w:rsid w:val="00D37E9F"/>
    <w:rsid w:val="00D37F1F"/>
    <w:rsid w:val="00D40503"/>
    <w:rsid w:val="00D406C8"/>
    <w:rsid w:val="00D40966"/>
    <w:rsid w:val="00D41296"/>
    <w:rsid w:val="00D412E4"/>
    <w:rsid w:val="00D41888"/>
    <w:rsid w:val="00D41984"/>
    <w:rsid w:val="00D41F81"/>
    <w:rsid w:val="00D4225D"/>
    <w:rsid w:val="00D426B2"/>
    <w:rsid w:val="00D4278D"/>
    <w:rsid w:val="00D42B28"/>
    <w:rsid w:val="00D43065"/>
    <w:rsid w:val="00D43699"/>
    <w:rsid w:val="00D43A73"/>
    <w:rsid w:val="00D43A96"/>
    <w:rsid w:val="00D43C6D"/>
    <w:rsid w:val="00D44031"/>
    <w:rsid w:val="00D443F2"/>
    <w:rsid w:val="00D445D0"/>
    <w:rsid w:val="00D447BD"/>
    <w:rsid w:val="00D4556B"/>
    <w:rsid w:val="00D47101"/>
    <w:rsid w:val="00D47426"/>
    <w:rsid w:val="00D474C1"/>
    <w:rsid w:val="00D509C6"/>
    <w:rsid w:val="00D50D9A"/>
    <w:rsid w:val="00D50E3D"/>
    <w:rsid w:val="00D51285"/>
    <w:rsid w:val="00D51333"/>
    <w:rsid w:val="00D514F7"/>
    <w:rsid w:val="00D51E10"/>
    <w:rsid w:val="00D52644"/>
    <w:rsid w:val="00D53896"/>
    <w:rsid w:val="00D539C5"/>
    <w:rsid w:val="00D53C3D"/>
    <w:rsid w:val="00D53EAD"/>
    <w:rsid w:val="00D53F7E"/>
    <w:rsid w:val="00D5428E"/>
    <w:rsid w:val="00D54894"/>
    <w:rsid w:val="00D55787"/>
    <w:rsid w:val="00D55823"/>
    <w:rsid w:val="00D55887"/>
    <w:rsid w:val="00D5667C"/>
    <w:rsid w:val="00D56B04"/>
    <w:rsid w:val="00D56C25"/>
    <w:rsid w:val="00D576D6"/>
    <w:rsid w:val="00D57915"/>
    <w:rsid w:val="00D60C7E"/>
    <w:rsid w:val="00D60D47"/>
    <w:rsid w:val="00D61801"/>
    <w:rsid w:val="00D62858"/>
    <w:rsid w:val="00D629F0"/>
    <w:rsid w:val="00D62F7F"/>
    <w:rsid w:val="00D63261"/>
    <w:rsid w:val="00D63407"/>
    <w:rsid w:val="00D636B9"/>
    <w:rsid w:val="00D63756"/>
    <w:rsid w:val="00D63991"/>
    <w:rsid w:val="00D63C80"/>
    <w:rsid w:val="00D63F23"/>
    <w:rsid w:val="00D63FEA"/>
    <w:rsid w:val="00D6412F"/>
    <w:rsid w:val="00D642F1"/>
    <w:rsid w:val="00D64617"/>
    <w:rsid w:val="00D64C4C"/>
    <w:rsid w:val="00D64FDC"/>
    <w:rsid w:val="00D65188"/>
    <w:rsid w:val="00D659C4"/>
    <w:rsid w:val="00D65A46"/>
    <w:rsid w:val="00D65E30"/>
    <w:rsid w:val="00D660F4"/>
    <w:rsid w:val="00D66584"/>
    <w:rsid w:val="00D668B9"/>
    <w:rsid w:val="00D66FDB"/>
    <w:rsid w:val="00D67251"/>
    <w:rsid w:val="00D674DE"/>
    <w:rsid w:val="00D67671"/>
    <w:rsid w:val="00D676E4"/>
    <w:rsid w:val="00D678A1"/>
    <w:rsid w:val="00D70122"/>
    <w:rsid w:val="00D70835"/>
    <w:rsid w:val="00D718AA"/>
    <w:rsid w:val="00D725A0"/>
    <w:rsid w:val="00D72B07"/>
    <w:rsid w:val="00D73417"/>
    <w:rsid w:val="00D73639"/>
    <w:rsid w:val="00D74175"/>
    <w:rsid w:val="00D741F9"/>
    <w:rsid w:val="00D746F3"/>
    <w:rsid w:val="00D74911"/>
    <w:rsid w:val="00D74E6D"/>
    <w:rsid w:val="00D74EA6"/>
    <w:rsid w:val="00D75033"/>
    <w:rsid w:val="00D7511A"/>
    <w:rsid w:val="00D756C4"/>
    <w:rsid w:val="00D75AB1"/>
    <w:rsid w:val="00D75D81"/>
    <w:rsid w:val="00D76048"/>
    <w:rsid w:val="00D760C1"/>
    <w:rsid w:val="00D76794"/>
    <w:rsid w:val="00D76B69"/>
    <w:rsid w:val="00D76D82"/>
    <w:rsid w:val="00D7723F"/>
    <w:rsid w:val="00D77292"/>
    <w:rsid w:val="00D774C7"/>
    <w:rsid w:val="00D7773C"/>
    <w:rsid w:val="00D77CAC"/>
    <w:rsid w:val="00D80049"/>
    <w:rsid w:val="00D801B7"/>
    <w:rsid w:val="00D8047F"/>
    <w:rsid w:val="00D8072E"/>
    <w:rsid w:val="00D80952"/>
    <w:rsid w:val="00D80EA0"/>
    <w:rsid w:val="00D80F4E"/>
    <w:rsid w:val="00D81773"/>
    <w:rsid w:val="00D817C6"/>
    <w:rsid w:val="00D81945"/>
    <w:rsid w:val="00D81A41"/>
    <w:rsid w:val="00D81B69"/>
    <w:rsid w:val="00D81E5D"/>
    <w:rsid w:val="00D8294A"/>
    <w:rsid w:val="00D829E6"/>
    <w:rsid w:val="00D82A7B"/>
    <w:rsid w:val="00D82EDF"/>
    <w:rsid w:val="00D83310"/>
    <w:rsid w:val="00D8389F"/>
    <w:rsid w:val="00D839B0"/>
    <w:rsid w:val="00D84084"/>
    <w:rsid w:val="00D84278"/>
    <w:rsid w:val="00D8453A"/>
    <w:rsid w:val="00D848CA"/>
    <w:rsid w:val="00D8494F"/>
    <w:rsid w:val="00D84BAB"/>
    <w:rsid w:val="00D84DED"/>
    <w:rsid w:val="00D850AB"/>
    <w:rsid w:val="00D85500"/>
    <w:rsid w:val="00D857C6"/>
    <w:rsid w:val="00D85A09"/>
    <w:rsid w:val="00D85F12"/>
    <w:rsid w:val="00D860C8"/>
    <w:rsid w:val="00D86596"/>
    <w:rsid w:val="00D868B2"/>
    <w:rsid w:val="00D8744B"/>
    <w:rsid w:val="00D879BC"/>
    <w:rsid w:val="00D87C98"/>
    <w:rsid w:val="00D9022B"/>
    <w:rsid w:val="00D9076F"/>
    <w:rsid w:val="00D907DE"/>
    <w:rsid w:val="00D91180"/>
    <w:rsid w:val="00D917C3"/>
    <w:rsid w:val="00D918F1"/>
    <w:rsid w:val="00D925C7"/>
    <w:rsid w:val="00D92A7B"/>
    <w:rsid w:val="00D9312C"/>
    <w:rsid w:val="00D934DD"/>
    <w:rsid w:val="00D93578"/>
    <w:rsid w:val="00D93764"/>
    <w:rsid w:val="00D93F3F"/>
    <w:rsid w:val="00D940A0"/>
    <w:rsid w:val="00D942A3"/>
    <w:rsid w:val="00D9446A"/>
    <w:rsid w:val="00D9491E"/>
    <w:rsid w:val="00D94EED"/>
    <w:rsid w:val="00D958E5"/>
    <w:rsid w:val="00D95FF8"/>
    <w:rsid w:val="00D965F2"/>
    <w:rsid w:val="00D9698C"/>
    <w:rsid w:val="00D978F5"/>
    <w:rsid w:val="00D97ED4"/>
    <w:rsid w:val="00D97F1C"/>
    <w:rsid w:val="00DA00C5"/>
    <w:rsid w:val="00DA01DA"/>
    <w:rsid w:val="00DA02E9"/>
    <w:rsid w:val="00DA0406"/>
    <w:rsid w:val="00DA058E"/>
    <w:rsid w:val="00DA0748"/>
    <w:rsid w:val="00DA0B49"/>
    <w:rsid w:val="00DA0B65"/>
    <w:rsid w:val="00DA1E09"/>
    <w:rsid w:val="00DA24B9"/>
    <w:rsid w:val="00DA2E43"/>
    <w:rsid w:val="00DA3151"/>
    <w:rsid w:val="00DA31F4"/>
    <w:rsid w:val="00DA36CC"/>
    <w:rsid w:val="00DA3732"/>
    <w:rsid w:val="00DA41AD"/>
    <w:rsid w:val="00DA450B"/>
    <w:rsid w:val="00DA4B07"/>
    <w:rsid w:val="00DA5F24"/>
    <w:rsid w:val="00DA637E"/>
    <w:rsid w:val="00DA65E3"/>
    <w:rsid w:val="00DA6BB4"/>
    <w:rsid w:val="00DA7217"/>
    <w:rsid w:val="00DA7233"/>
    <w:rsid w:val="00DA774D"/>
    <w:rsid w:val="00DA7B70"/>
    <w:rsid w:val="00DB0284"/>
    <w:rsid w:val="00DB1E59"/>
    <w:rsid w:val="00DB2226"/>
    <w:rsid w:val="00DB296C"/>
    <w:rsid w:val="00DB2FC7"/>
    <w:rsid w:val="00DB3031"/>
    <w:rsid w:val="00DB31AE"/>
    <w:rsid w:val="00DB34B5"/>
    <w:rsid w:val="00DB35DC"/>
    <w:rsid w:val="00DB39C2"/>
    <w:rsid w:val="00DB43A7"/>
    <w:rsid w:val="00DB43BF"/>
    <w:rsid w:val="00DB4767"/>
    <w:rsid w:val="00DB48E0"/>
    <w:rsid w:val="00DB49A0"/>
    <w:rsid w:val="00DB4E2D"/>
    <w:rsid w:val="00DB510E"/>
    <w:rsid w:val="00DB540B"/>
    <w:rsid w:val="00DB7650"/>
    <w:rsid w:val="00DB77A2"/>
    <w:rsid w:val="00DB7BA8"/>
    <w:rsid w:val="00DC1591"/>
    <w:rsid w:val="00DC1EDE"/>
    <w:rsid w:val="00DC21AB"/>
    <w:rsid w:val="00DC22F7"/>
    <w:rsid w:val="00DC2562"/>
    <w:rsid w:val="00DC2963"/>
    <w:rsid w:val="00DC4044"/>
    <w:rsid w:val="00DC4583"/>
    <w:rsid w:val="00DC54CD"/>
    <w:rsid w:val="00DC64EE"/>
    <w:rsid w:val="00DC6774"/>
    <w:rsid w:val="00DC6A86"/>
    <w:rsid w:val="00DC6D16"/>
    <w:rsid w:val="00DC79EF"/>
    <w:rsid w:val="00DD0485"/>
    <w:rsid w:val="00DD05E7"/>
    <w:rsid w:val="00DD151C"/>
    <w:rsid w:val="00DD1861"/>
    <w:rsid w:val="00DD1A0C"/>
    <w:rsid w:val="00DD1DA5"/>
    <w:rsid w:val="00DD1DB8"/>
    <w:rsid w:val="00DD1E03"/>
    <w:rsid w:val="00DD1E4E"/>
    <w:rsid w:val="00DD295D"/>
    <w:rsid w:val="00DD2C38"/>
    <w:rsid w:val="00DD2E97"/>
    <w:rsid w:val="00DD2FB7"/>
    <w:rsid w:val="00DD3A2A"/>
    <w:rsid w:val="00DD3D07"/>
    <w:rsid w:val="00DD4022"/>
    <w:rsid w:val="00DD4310"/>
    <w:rsid w:val="00DD4E76"/>
    <w:rsid w:val="00DD4F16"/>
    <w:rsid w:val="00DD55C0"/>
    <w:rsid w:val="00DD567E"/>
    <w:rsid w:val="00DD5AA6"/>
    <w:rsid w:val="00DD5F45"/>
    <w:rsid w:val="00DD666E"/>
    <w:rsid w:val="00DD66CB"/>
    <w:rsid w:val="00DD6ADE"/>
    <w:rsid w:val="00DD6F6C"/>
    <w:rsid w:val="00DD6FED"/>
    <w:rsid w:val="00DD72A6"/>
    <w:rsid w:val="00DD7327"/>
    <w:rsid w:val="00DD75CC"/>
    <w:rsid w:val="00DD7636"/>
    <w:rsid w:val="00DD7867"/>
    <w:rsid w:val="00DD7AEB"/>
    <w:rsid w:val="00DE0014"/>
    <w:rsid w:val="00DE023A"/>
    <w:rsid w:val="00DE0E2F"/>
    <w:rsid w:val="00DE113C"/>
    <w:rsid w:val="00DE1EBB"/>
    <w:rsid w:val="00DE1FD4"/>
    <w:rsid w:val="00DE26C8"/>
    <w:rsid w:val="00DE26E7"/>
    <w:rsid w:val="00DE2C04"/>
    <w:rsid w:val="00DE2DE5"/>
    <w:rsid w:val="00DE2FD0"/>
    <w:rsid w:val="00DE3887"/>
    <w:rsid w:val="00DE3A8A"/>
    <w:rsid w:val="00DE3C3E"/>
    <w:rsid w:val="00DE45C5"/>
    <w:rsid w:val="00DE49E6"/>
    <w:rsid w:val="00DE4A0B"/>
    <w:rsid w:val="00DE4E89"/>
    <w:rsid w:val="00DE4F58"/>
    <w:rsid w:val="00DE5557"/>
    <w:rsid w:val="00DE56DB"/>
    <w:rsid w:val="00DE5A17"/>
    <w:rsid w:val="00DE5C2A"/>
    <w:rsid w:val="00DE6162"/>
    <w:rsid w:val="00DE6217"/>
    <w:rsid w:val="00DE6632"/>
    <w:rsid w:val="00DE66AB"/>
    <w:rsid w:val="00DE68BB"/>
    <w:rsid w:val="00DE7439"/>
    <w:rsid w:val="00DE790A"/>
    <w:rsid w:val="00DE79FD"/>
    <w:rsid w:val="00DF03FE"/>
    <w:rsid w:val="00DF05D5"/>
    <w:rsid w:val="00DF089C"/>
    <w:rsid w:val="00DF0A02"/>
    <w:rsid w:val="00DF0C2A"/>
    <w:rsid w:val="00DF0FEF"/>
    <w:rsid w:val="00DF15E9"/>
    <w:rsid w:val="00DF1C13"/>
    <w:rsid w:val="00DF208D"/>
    <w:rsid w:val="00DF2284"/>
    <w:rsid w:val="00DF2D8A"/>
    <w:rsid w:val="00DF352A"/>
    <w:rsid w:val="00DF3731"/>
    <w:rsid w:val="00DF3758"/>
    <w:rsid w:val="00DF390B"/>
    <w:rsid w:val="00DF3A4D"/>
    <w:rsid w:val="00DF3E5F"/>
    <w:rsid w:val="00DF426B"/>
    <w:rsid w:val="00DF465D"/>
    <w:rsid w:val="00DF50E9"/>
    <w:rsid w:val="00DF522A"/>
    <w:rsid w:val="00DF556D"/>
    <w:rsid w:val="00DF58E7"/>
    <w:rsid w:val="00DF6272"/>
    <w:rsid w:val="00DF6495"/>
    <w:rsid w:val="00DF6533"/>
    <w:rsid w:val="00DF6A19"/>
    <w:rsid w:val="00DF6B00"/>
    <w:rsid w:val="00DF6D7B"/>
    <w:rsid w:val="00DF7388"/>
    <w:rsid w:val="00DF73CC"/>
    <w:rsid w:val="00DF7A24"/>
    <w:rsid w:val="00DF7C7C"/>
    <w:rsid w:val="00DF7D0E"/>
    <w:rsid w:val="00E0047C"/>
    <w:rsid w:val="00E005DD"/>
    <w:rsid w:val="00E00853"/>
    <w:rsid w:val="00E00C66"/>
    <w:rsid w:val="00E00DB9"/>
    <w:rsid w:val="00E0116E"/>
    <w:rsid w:val="00E0188E"/>
    <w:rsid w:val="00E02026"/>
    <w:rsid w:val="00E022CE"/>
    <w:rsid w:val="00E02DEF"/>
    <w:rsid w:val="00E02EEB"/>
    <w:rsid w:val="00E039D5"/>
    <w:rsid w:val="00E04BED"/>
    <w:rsid w:val="00E05397"/>
    <w:rsid w:val="00E05608"/>
    <w:rsid w:val="00E05671"/>
    <w:rsid w:val="00E05705"/>
    <w:rsid w:val="00E06874"/>
    <w:rsid w:val="00E068CC"/>
    <w:rsid w:val="00E071BB"/>
    <w:rsid w:val="00E073EC"/>
    <w:rsid w:val="00E07BCD"/>
    <w:rsid w:val="00E10A52"/>
    <w:rsid w:val="00E10BFA"/>
    <w:rsid w:val="00E10DC1"/>
    <w:rsid w:val="00E10EB1"/>
    <w:rsid w:val="00E118E7"/>
    <w:rsid w:val="00E11C50"/>
    <w:rsid w:val="00E125F2"/>
    <w:rsid w:val="00E1292A"/>
    <w:rsid w:val="00E12F07"/>
    <w:rsid w:val="00E135B1"/>
    <w:rsid w:val="00E136CA"/>
    <w:rsid w:val="00E13864"/>
    <w:rsid w:val="00E13DEE"/>
    <w:rsid w:val="00E141E9"/>
    <w:rsid w:val="00E14364"/>
    <w:rsid w:val="00E144B2"/>
    <w:rsid w:val="00E1474F"/>
    <w:rsid w:val="00E14DC9"/>
    <w:rsid w:val="00E14E10"/>
    <w:rsid w:val="00E15152"/>
    <w:rsid w:val="00E1593C"/>
    <w:rsid w:val="00E15C48"/>
    <w:rsid w:val="00E1684C"/>
    <w:rsid w:val="00E16CF7"/>
    <w:rsid w:val="00E16DEB"/>
    <w:rsid w:val="00E174A0"/>
    <w:rsid w:val="00E17538"/>
    <w:rsid w:val="00E17577"/>
    <w:rsid w:val="00E177E8"/>
    <w:rsid w:val="00E17BA3"/>
    <w:rsid w:val="00E17F37"/>
    <w:rsid w:val="00E2034C"/>
    <w:rsid w:val="00E203E9"/>
    <w:rsid w:val="00E206FE"/>
    <w:rsid w:val="00E21114"/>
    <w:rsid w:val="00E211E0"/>
    <w:rsid w:val="00E2139C"/>
    <w:rsid w:val="00E215DE"/>
    <w:rsid w:val="00E21EF9"/>
    <w:rsid w:val="00E22018"/>
    <w:rsid w:val="00E2285C"/>
    <w:rsid w:val="00E22908"/>
    <w:rsid w:val="00E22BB2"/>
    <w:rsid w:val="00E22EA8"/>
    <w:rsid w:val="00E2345E"/>
    <w:rsid w:val="00E2381A"/>
    <w:rsid w:val="00E23E3F"/>
    <w:rsid w:val="00E23EAD"/>
    <w:rsid w:val="00E24338"/>
    <w:rsid w:val="00E246D0"/>
    <w:rsid w:val="00E249B9"/>
    <w:rsid w:val="00E24A1B"/>
    <w:rsid w:val="00E25004"/>
    <w:rsid w:val="00E26699"/>
    <w:rsid w:val="00E268FA"/>
    <w:rsid w:val="00E26976"/>
    <w:rsid w:val="00E26BE3"/>
    <w:rsid w:val="00E26FE3"/>
    <w:rsid w:val="00E27769"/>
    <w:rsid w:val="00E27A68"/>
    <w:rsid w:val="00E27B56"/>
    <w:rsid w:val="00E27F8C"/>
    <w:rsid w:val="00E30051"/>
    <w:rsid w:val="00E30358"/>
    <w:rsid w:val="00E304B0"/>
    <w:rsid w:val="00E3081C"/>
    <w:rsid w:val="00E30D50"/>
    <w:rsid w:val="00E314E5"/>
    <w:rsid w:val="00E31534"/>
    <w:rsid w:val="00E315CC"/>
    <w:rsid w:val="00E31E3B"/>
    <w:rsid w:val="00E32129"/>
    <w:rsid w:val="00E3254D"/>
    <w:rsid w:val="00E325FF"/>
    <w:rsid w:val="00E328C2"/>
    <w:rsid w:val="00E337E6"/>
    <w:rsid w:val="00E33967"/>
    <w:rsid w:val="00E33A5A"/>
    <w:rsid w:val="00E33B86"/>
    <w:rsid w:val="00E34019"/>
    <w:rsid w:val="00E34394"/>
    <w:rsid w:val="00E3479B"/>
    <w:rsid w:val="00E347C0"/>
    <w:rsid w:val="00E34888"/>
    <w:rsid w:val="00E34A76"/>
    <w:rsid w:val="00E34CF5"/>
    <w:rsid w:val="00E35433"/>
    <w:rsid w:val="00E35AF0"/>
    <w:rsid w:val="00E35F5E"/>
    <w:rsid w:val="00E36817"/>
    <w:rsid w:val="00E36BB7"/>
    <w:rsid w:val="00E36FAA"/>
    <w:rsid w:val="00E37007"/>
    <w:rsid w:val="00E401BE"/>
    <w:rsid w:val="00E410AB"/>
    <w:rsid w:val="00E41510"/>
    <w:rsid w:val="00E4199D"/>
    <w:rsid w:val="00E41BAD"/>
    <w:rsid w:val="00E41BB3"/>
    <w:rsid w:val="00E43742"/>
    <w:rsid w:val="00E43762"/>
    <w:rsid w:val="00E438BC"/>
    <w:rsid w:val="00E439FE"/>
    <w:rsid w:val="00E43EBC"/>
    <w:rsid w:val="00E43FB2"/>
    <w:rsid w:val="00E4405E"/>
    <w:rsid w:val="00E441F7"/>
    <w:rsid w:val="00E44844"/>
    <w:rsid w:val="00E44A17"/>
    <w:rsid w:val="00E44C5E"/>
    <w:rsid w:val="00E44CBD"/>
    <w:rsid w:val="00E45811"/>
    <w:rsid w:val="00E458CD"/>
    <w:rsid w:val="00E46758"/>
    <w:rsid w:val="00E46A7B"/>
    <w:rsid w:val="00E46D25"/>
    <w:rsid w:val="00E471AB"/>
    <w:rsid w:val="00E476FC"/>
    <w:rsid w:val="00E47D99"/>
    <w:rsid w:val="00E47E73"/>
    <w:rsid w:val="00E51904"/>
    <w:rsid w:val="00E51B73"/>
    <w:rsid w:val="00E51E88"/>
    <w:rsid w:val="00E5209C"/>
    <w:rsid w:val="00E52117"/>
    <w:rsid w:val="00E5217B"/>
    <w:rsid w:val="00E521D2"/>
    <w:rsid w:val="00E522B0"/>
    <w:rsid w:val="00E52AAF"/>
    <w:rsid w:val="00E52D4C"/>
    <w:rsid w:val="00E52ED3"/>
    <w:rsid w:val="00E531BC"/>
    <w:rsid w:val="00E531E1"/>
    <w:rsid w:val="00E533E2"/>
    <w:rsid w:val="00E535B1"/>
    <w:rsid w:val="00E53771"/>
    <w:rsid w:val="00E53983"/>
    <w:rsid w:val="00E53BF0"/>
    <w:rsid w:val="00E5457B"/>
    <w:rsid w:val="00E546A4"/>
    <w:rsid w:val="00E546EF"/>
    <w:rsid w:val="00E5516A"/>
    <w:rsid w:val="00E55A26"/>
    <w:rsid w:val="00E55C12"/>
    <w:rsid w:val="00E55C26"/>
    <w:rsid w:val="00E55FB9"/>
    <w:rsid w:val="00E55FDB"/>
    <w:rsid w:val="00E56157"/>
    <w:rsid w:val="00E563D2"/>
    <w:rsid w:val="00E56E37"/>
    <w:rsid w:val="00E5739A"/>
    <w:rsid w:val="00E574E9"/>
    <w:rsid w:val="00E57C57"/>
    <w:rsid w:val="00E57E22"/>
    <w:rsid w:val="00E6054F"/>
    <w:rsid w:val="00E60F14"/>
    <w:rsid w:val="00E61035"/>
    <w:rsid w:val="00E6172C"/>
    <w:rsid w:val="00E61B57"/>
    <w:rsid w:val="00E61C0B"/>
    <w:rsid w:val="00E632CA"/>
    <w:rsid w:val="00E632E3"/>
    <w:rsid w:val="00E6356D"/>
    <w:rsid w:val="00E63D8E"/>
    <w:rsid w:val="00E63DC6"/>
    <w:rsid w:val="00E63F61"/>
    <w:rsid w:val="00E64658"/>
    <w:rsid w:val="00E64ACB"/>
    <w:rsid w:val="00E654A2"/>
    <w:rsid w:val="00E657EA"/>
    <w:rsid w:val="00E65A82"/>
    <w:rsid w:val="00E65C33"/>
    <w:rsid w:val="00E66293"/>
    <w:rsid w:val="00E6644D"/>
    <w:rsid w:val="00E66FA3"/>
    <w:rsid w:val="00E6741C"/>
    <w:rsid w:val="00E67EFD"/>
    <w:rsid w:val="00E67FAC"/>
    <w:rsid w:val="00E70123"/>
    <w:rsid w:val="00E70A9D"/>
    <w:rsid w:val="00E70BB2"/>
    <w:rsid w:val="00E71149"/>
    <w:rsid w:val="00E714AD"/>
    <w:rsid w:val="00E71CB3"/>
    <w:rsid w:val="00E71DB2"/>
    <w:rsid w:val="00E71EC1"/>
    <w:rsid w:val="00E7205B"/>
    <w:rsid w:val="00E7249E"/>
    <w:rsid w:val="00E72C29"/>
    <w:rsid w:val="00E72E24"/>
    <w:rsid w:val="00E73933"/>
    <w:rsid w:val="00E73A1D"/>
    <w:rsid w:val="00E73DCF"/>
    <w:rsid w:val="00E7428C"/>
    <w:rsid w:val="00E74404"/>
    <w:rsid w:val="00E74887"/>
    <w:rsid w:val="00E74C1B"/>
    <w:rsid w:val="00E74CB6"/>
    <w:rsid w:val="00E74D8B"/>
    <w:rsid w:val="00E75045"/>
    <w:rsid w:val="00E752CF"/>
    <w:rsid w:val="00E752E0"/>
    <w:rsid w:val="00E754DC"/>
    <w:rsid w:val="00E7614F"/>
    <w:rsid w:val="00E7621F"/>
    <w:rsid w:val="00E76396"/>
    <w:rsid w:val="00E7658D"/>
    <w:rsid w:val="00E768AF"/>
    <w:rsid w:val="00E76D40"/>
    <w:rsid w:val="00E7734C"/>
    <w:rsid w:val="00E7739E"/>
    <w:rsid w:val="00E773D5"/>
    <w:rsid w:val="00E7752C"/>
    <w:rsid w:val="00E77976"/>
    <w:rsid w:val="00E779F4"/>
    <w:rsid w:val="00E77B16"/>
    <w:rsid w:val="00E807CC"/>
    <w:rsid w:val="00E80AB6"/>
    <w:rsid w:val="00E80DE9"/>
    <w:rsid w:val="00E80FB6"/>
    <w:rsid w:val="00E82056"/>
    <w:rsid w:val="00E8267F"/>
    <w:rsid w:val="00E82EB5"/>
    <w:rsid w:val="00E8323F"/>
    <w:rsid w:val="00E8399C"/>
    <w:rsid w:val="00E840DE"/>
    <w:rsid w:val="00E847C0"/>
    <w:rsid w:val="00E85421"/>
    <w:rsid w:val="00E857E4"/>
    <w:rsid w:val="00E85CF7"/>
    <w:rsid w:val="00E86BEE"/>
    <w:rsid w:val="00E8752A"/>
    <w:rsid w:val="00E87C70"/>
    <w:rsid w:val="00E90684"/>
    <w:rsid w:val="00E90CE8"/>
    <w:rsid w:val="00E9162F"/>
    <w:rsid w:val="00E9165A"/>
    <w:rsid w:val="00E91734"/>
    <w:rsid w:val="00E91A2A"/>
    <w:rsid w:val="00E91F7A"/>
    <w:rsid w:val="00E92177"/>
    <w:rsid w:val="00E921A2"/>
    <w:rsid w:val="00E92666"/>
    <w:rsid w:val="00E92A43"/>
    <w:rsid w:val="00E92E65"/>
    <w:rsid w:val="00E936D0"/>
    <w:rsid w:val="00E93707"/>
    <w:rsid w:val="00E93BDE"/>
    <w:rsid w:val="00E9452F"/>
    <w:rsid w:val="00E94591"/>
    <w:rsid w:val="00E946B3"/>
    <w:rsid w:val="00E94802"/>
    <w:rsid w:val="00E94B17"/>
    <w:rsid w:val="00E950BD"/>
    <w:rsid w:val="00E95ACB"/>
    <w:rsid w:val="00E95D95"/>
    <w:rsid w:val="00E9667A"/>
    <w:rsid w:val="00E967BC"/>
    <w:rsid w:val="00E97A39"/>
    <w:rsid w:val="00E97A66"/>
    <w:rsid w:val="00E97AFD"/>
    <w:rsid w:val="00E97E38"/>
    <w:rsid w:val="00EA0106"/>
    <w:rsid w:val="00EA0A4A"/>
    <w:rsid w:val="00EA0BB8"/>
    <w:rsid w:val="00EA0CBF"/>
    <w:rsid w:val="00EA1C5F"/>
    <w:rsid w:val="00EA24DD"/>
    <w:rsid w:val="00EA254B"/>
    <w:rsid w:val="00EA30BD"/>
    <w:rsid w:val="00EA31E7"/>
    <w:rsid w:val="00EA3294"/>
    <w:rsid w:val="00EA36B2"/>
    <w:rsid w:val="00EA3B52"/>
    <w:rsid w:val="00EA461B"/>
    <w:rsid w:val="00EA5262"/>
    <w:rsid w:val="00EA571A"/>
    <w:rsid w:val="00EA5F33"/>
    <w:rsid w:val="00EA6696"/>
    <w:rsid w:val="00EA6A03"/>
    <w:rsid w:val="00EA6B11"/>
    <w:rsid w:val="00EA710A"/>
    <w:rsid w:val="00EA7DAB"/>
    <w:rsid w:val="00EA7E66"/>
    <w:rsid w:val="00EA7F68"/>
    <w:rsid w:val="00EB055B"/>
    <w:rsid w:val="00EB10E0"/>
    <w:rsid w:val="00EB130D"/>
    <w:rsid w:val="00EB1F8C"/>
    <w:rsid w:val="00EB1FC8"/>
    <w:rsid w:val="00EB32C5"/>
    <w:rsid w:val="00EB36F6"/>
    <w:rsid w:val="00EB36FA"/>
    <w:rsid w:val="00EB38FB"/>
    <w:rsid w:val="00EB3F6C"/>
    <w:rsid w:val="00EB44BF"/>
    <w:rsid w:val="00EB493D"/>
    <w:rsid w:val="00EB49A2"/>
    <w:rsid w:val="00EB4A85"/>
    <w:rsid w:val="00EB4F46"/>
    <w:rsid w:val="00EB507B"/>
    <w:rsid w:val="00EB54C8"/>
    <w:rsid w:val="00EB55C7"/>
    <w:rsid w:val="00EB59A0"/>
    <w:rsid w:val="00EB5CD5"/>
    <w:rsid w:val="00EB60E0"/>
    <w:rsid w:val="00EB6A8B"/>
    <w:rsid w:val="00EB6AD4"/>
    <w:rsid w:val="00EB6CDE"/>
    <w:rsid w:val="00EB707A"/>
    <w:rsid w:val="00EB7270"/>
    <w:rsid w:val="00EB7302"/>
    <w:rsid w:val="00EB7B25"/>
    <w:rsid w:val="00EB7E6F"/>
    <w:rsid w:val="00EC024F"/>
    <w:rsid w:val="00EC0753"/>
    <w:rsid w:val="00EC0846"/>
    <w:rsid w:val="00EC1299"/>
    <w:rsid w:val="00EC151A"/>
    <w:rsid w:val="00EC1549"/>
    <w:rsid w:val="00EC161A"/>
    <w:rsid w:val="00EC1AE1"/>
    <w:rsid w:val="00EC2997"/>
    <w:rsid w:val="00EC2A4B"/>
    <w:rsid w:val="00EC2D3E"/>
    <w:rsid w:val="00EC34D9"/>
    <w:rsid w:val="00EC3F54"/>
    <w:rsid w:val="00EC415A"/>
    <w:rsid w:val="00EC47AA"/>
    <w:rsid w:val="00EC49A6"/>
    <w:rsid w:val="00EC51EF"/>
    <w:rsid w:val="00EC5929"/>
    <w:rsid w:val="00EC6280"/>
    <w:rsid w:val="00EC638C"/>
    <w:rsid w:val="00EC6CBC"/>
    <w:rsid w:val="00EC709B"/>
    <w:rsid w:val="00ED073A"/>
    <w:rsid w:val="00ED0978"/>
    <w:rsid w:val="00ED1E11"/>
    <w:rsid w:val="00ED1F37"/>
    <w:rsid w:val="00ED2330"/>
    <w:rsid w:val="00ED278F"/>
    <w:rsid w:val="00ED2F8C"/>
    <w:rsid w:val="00ED3F2B"/>
    <w:rsid w:val="00ED4266"/>
    <w:rsid w:val="00ED50FF"/>
    <w:rsid w:val="00ED5A39"/>
    <w:rsid w:val="00ED5A76"/>
    <w:rsid w:val="00ED5BE3"/>
    <w:rsid w:val="00ED64CE"/>
    <w:rsid w:val="00ED757C"/>
    <w:rsid w:val="00ED7724"/>
    <w:rsid w:val="00ED7A9D"/>
    <w:rsid w:val="00ED7DCF"/>
    <w:rsid w:val="00EE0120"/>
    <w:rsid w:val="00EE02B0"/>
    <w:rsid w:val="00EE04FA"/>
    <w:rsid w:val="00EE04FC"/>
    <w:rsid w:val="00EE057C"/>
    <w:rsid w:val="00EE0C6D"/>
    <w:rsid w:val="00EE0E4A"/>
    <w:rsid w:val="00EE1D2A"/>
    <w:rsid w:val="00EE2BAE"/>
    <w:rsid w:val="00EE33B7"/>
    <w:rsid w:val="00EE34DC"/>
    <w:rsid w:val="00EE3A36"/>
    <w:rsid w:val="00EE3BC9"/>
    <w:rsid w:val="00EE3EEC"/>
    <w:rsid w:val="00EE4026"/>
    <w:rsid w:val="00EE46B2"/>
    <w:rsid w:val="00EE4B5A"/>
    <w:rsid w:val="00EE53DC"/>
    <w:rsid w:val="00EE5703"/>
    <w:rsid w:val="00EE5994"/>
    <w:rsid w:val="00EE5C7D"/>
    <w:rsid w:val="00EE5F67"/>
    <w:rsid w:val="00EE6603"/>
    <w:rsid w:val="00EE6CC9"/>
    <w:rsid w:val="00EE6D33"/>
    <w:rsid w:val="00EE6E46"/>
    <w:rsid w:val="00EE72E1"/>
    <w:rsid w:val="00EE796E"/>
    <w:rsid w:val="00EE79EE"/>
    <w:rsid w:val="00EE79F9"/>
    <w:rsid w:val="00EE7D4F"/>
    <w:rsid w:val="00EF0148"/>
    <w:rsid w:val="00EF0982"/>
    <w:rsid w:val="00EF0D31"/>
    <w:rsid w:val="00EF0E83"/>
    <w:rsid w:val="00EF0F0F"/>
    <w:rsid w:val="00EF1775"/>
    <w:rsid w:val="00EF1B96"/>
    <w:rsid w:val="00EF1BBE"/>
    <w:rsid w:val="00EF2986"/>
    <w:rsid w:val="00EF2B85"/>
    <w:rsid w:val="00EF2C9D"/>
    <w:rsid w:val="00EF32EB"/>
    <w:rsid w:val="00EF3907"/>
    <w:rsid w:val="00EF3A2C"/>
    <w:rsid w:val="00EF3CD7"/>
    <w:rsid w:val="00EF3CF0"/>
    <w:rsid w:val="00EF3FCC"/>
    <w:rsid w:val="00EF4065"/>
    <w:rsid w:val="00EF48A4"/>
    <w:rsid w:val="00EF4EA2"/>
    <w:rsid w:val="00EF5261"/>
    <w:rsid w:val="00EF548D"/>
    <w:rsid w:val="00EF5DAE"/>
    <w:rsid w:val="00EF62C6"/>
    <w:rsid w:val="00EF6D36"/>
    <w:rsid w:val="00EF6DD8"/>
    <w:rsid w:val="00EF71AE"/>
    <w:rsid w:val="00EF757E"/>
    <w:rsid w:val="00EF7B2F"/>
    <w:rsid w:val="00EF7C07"/>
    <w:rsid w:val="00EF7C89"/>
    <w:rsid w:val="00EF7DDF"/>
    <w:rsid w:val="00EF7E74"/>
    <w:rsid w:val="00F00054"/>
    <w:rsid w:val="00F0066C"/>
    <w:rsid w:val="00F006DE"/>
    <w:rsid w:val="00F007C1"/>
    <w:rsid w:val="00F00B3B"/>
    <w:rsid w:val="00F00C29"/>
    <w:rsid w:val="00F00CB2"/>
    <w:rsid w:val="00F00FE3"/>
    <w:rsid w:val="00F01204"/>
    <w:rsid w:val="00F015E4"/>
    <w:rsid w:val="00F01D97"/>
    <w:rsid w:val="00F02073"/>
    <w:rsid w:val="00F0222A"/>
    <w:rsid w:val="00F024B8"/>
    <w:rsid w:val="00F02710"/>
    <w:rsid w:val="00F02A13"/>
    <w:rsid w:val="00F02AFB"/>
    <w:rsid w:val="00F02EA8"/>
    <w:rsid w:val="00F03174"/>
    <w:rsid w:val="00F033CE"/>
    <w:rsid w:val="00F03778"/>
    <w:rsid w:val="00F03921"/>
    <w:rsid w:val="00F03C4D"/>
    <w:rsid w:val="00F044FE"/>
    <w:rsid w:val="00F04850"/>
    <w:rsid w:val="00F04EAE"/>
    <w:rsid w:val="00F054D1"/>
    <w:rsid w:val="00F05583"/>
    <w:rsid w:val="00F05A12"/>
    <w:rsid w:val="00F05AD1"/>
    <w:rsid w:val="00F05CEF"/>
    <w:rsid w:val="00F05D8C"/>
    <w:rsid w:val="00F0636C"/>
    <w:rsid w:val="00F0641F"/>
    <w:rsid w:val="00F064D6"/>
    <w:rsid w:val="00F06757"/>
    <w:rsid w:val="00F07372"/>
    <w:rsid w:val="00F073C4"/>
    <w:rsid w:val="00F103B7"/>
    <w:rsid w:val="00F107EF"/>
    <w:rsid w:val="00F10A83"/>
    <w:rsid w:val="00F11125"/>
    <w:rsid w:val="00F1172D"/>
    <w:rsid w:val="00F11A83"/>
    <w:rsid w:val="00F11AC9"/>
    <w:rsid w:val="00F11EE7"/>
    <w:rsid w:val="00F11FB5"/>
    <w:rsid w:val="00F12549"/>
    <w:rsid w:val="00F127A4"/>
    <w:rsid w:val="00F12A50"/>
    <w:rsid w:val="00F12BC9"/>
    <w:rsid w:val="00F12F06"/>
    <w:rsid w:val="00F12F93"/>
    <w:rsid w:val="00F1308D"/>
    <w:rsid w:val="00F13801"/>
    <w:rsid w:val="00F140AF"/>
    <w:rsid w:val="00F14884"/>
    <w:rsid w:val="00F14BAF"/>
    <w:rsid w:val="00F14BDC"/>
    <w:rsid w:val="00F14F28"/>
    <w:rsid w:val="00F15B2D"/>
    <w:rsid w:val="00F1618F"/>
    <w:rsid w:val="00F16623"/>
    <w:rsid w:val="00F16679"/>
    <w:rsid w:val="00F167E3"/>
    <w:rsid w:val="00F16D11"/>
    <w:rsid w:val="00F16D9C"/>
    <w:rsid w:val="00F16DED"/>
    <w:rsid w:val="00F17B6F"/>
    <w:rsid w:val="00F2008D"/>
    <w:rsid w:val="00F2052E"/>
    <w:rsid w:val="00F205BE"/>
    <w:rsid w:val="00F2066F"/>
    <w:rsid w:val="00F20752"/>
    <w:rsid w:val="00F20A06"/>
    <w:rsid w:val="00F20DD6"/>
    <w:rsid w:val="00F21D1C"/>
    <w:rsid w:val="00F2234B"/>
    <w:rsid w:val="00F229AC"/>
    <w:rsid w:val="00F2302B"/>
    <w:rsid w:val="00F23EED"/>
    <w:rsid w:val="00F24374"/>
    <w:rsid w:val="00F24916"/>
    <w:rsid w:val="00F2510D"/>
    <w:rsid w:val="00F2514E"/>
    <w:rsid w:val="00F25619"/>
    <w:rsid w:val="00F264ED"/>
    <w:rsid w:val="00F265D1"/>
    <w:rsid w:val="00F26743"/>
    <w:rsid w:val="00F26EF2"/>
    <w:rsid w:val="00F27C79"/>
    <w:rsid w:val="00F27E0C"/>
    <w:rsid w:val="00F27E61"/>
    <w:rsid w:val="00F308CF"/>
    <w:rsid w:val="00F30AB7"/>
    <w:rsid w:val="00F31008"/>
    <w:rsid w:val="00F311FD"/>
    <w:rsid w:val="00F3147B"/>
    <w:rsid w:val="00F3166B"/>
    <w:rsid w:val="00F32110"/>
    <w:rsid w:val="00F321DA"/>
    <w:rsid w:val="00F324FB"/>
    <w:rsid w:val="00F327B7"/>
    <w:rsid w:val="00F3287A"/>
    <w:rsid w:val="00F32B63"/>
    <w:rsid w:val="00F3320B"/>
    <w:rsid w:val="00F33BB7"/>
    <w:rsid w:val="00F345D3"/>
    <w:rsid w:val="00F34721"/>
    <w:rsid w:val="00F35478"/>
    <w:rsid w:val="00F35648"/>
    <w:rsid w:val="00F35803"/>
    <w:rsid w:val="00F35A23"/>
    <w:rsid w:val="00F35DF7"/>
    <w:rsid w:val="00F35FE6"/>
    <w:rsid w:val="00F3695A"/>
    <w:rsid w:val="00F369C1"/>
    <w:rsid w:val="00F36A3C"/>
    <w:rsid w:val="00F3701D"/>
    <w:rsid w:val="00F37102"/>
    <w:rsid w:val="00F3741F"/>
    <w:rsid w:val="00F37BEA"/>
    <w:rsid w:val="00F37D35"/>
    <w:rsid w:val="00F4088B"/>
    <w:rsid w:val="00F40A01"/>
    <w:rsid w:val="00F40D33"/>
    <w:rsid w:val="00F4148F"/>
    <w:rsid w:val="00F419BC"/>
    <w:rsid w:val="00F41BF4"/>
    <w:rsid w:val="00F427E6"/>
    <w:rsid w:val="00F43906"/>
    <w:rsid w:val="00F43A08"/>
    <w:rsid w:val="00F43B69"/>
    <w:rsid w:val="00F44691"/>
    <w:rsid w:val="00F44818"/>
    <w:rsid w:val="00F448EF"/>
    <w:rsid w:val="00F45233"/>
    <w:rsid w:val="00F455A1"/>
    <w:rsid w:val="00F455FA"/>
    <w:rsid w:val="00F45DCB"/>
    <w:rsid w:val="00F45ECF"/>
    <w:rsid w:val="00F45F73"/>
    <w:rsid w:val="00F4620B"/>
    <w:rsid w:val="00F46461"/>
    <w:rsid w:val="00F46608"/>
    <w:rsid w:val="00F46B32"/>
    <w:rsid w:val="00F4710B"/>
    <w:rsid w:val="00F4780F"/>
    <w:rsid w:val="00F47F17"/>
    <w:rsid w:val="00F50149"/>
    <w:rsid w:val="00F505A0"/>
    <w:rsid w:val="00F50850"/>
    <w:rsid w:val="00F5124D"/>
    <w:rsid w:val="00F52328"/>
    <w:rsid w:val="00F52911"/>
    <w:rsid w:val="00F52C1F"/>
    <w:rsid w:val="00F52E59"/>
    <w:rsid w:val="00F53133"/>
    <w:rsid w:val="00F53207"/>
    <w:rsid w:val="00F534A8"/>
    <w:rsid w:val="00F534BB"/>
    <w:rsid w:val="00F53891"/>
    <w:rsid w:val="00F54085"/>
    <w:rsid w:val="00F54873"/>
    <w:rsid w:val="00F55377"/>
    <w:rsid w:val="00F558D8"/>
    <w:rsid w:val="00F5593B"/>
    <w:rsid w:val="00F55C0C"/>
    <w:rsid w:val="00F55C95"/>
    <w:rsid w:val="00F55DDA"/>
    <w:rsid w:val="00F56D32"/>
    <w:rsid w:val="00F56DE2"/>
    <w:rsid w:val="00F575C7"/>
    <w:rsid w:val="00F57782"/>
    <w:rsid w:val="00F6016B"/>
    <w:rsid w:val="00F601A1"/>
    <w:rsid w:val="00F60382"/>
    <w:rsid w:val="00F606ED"/>
    <w:rsid w:val="00F60C77"/>
    <w:rsid w:val="00F60EAC"/>
    <w:rsid w:val="00F60EEF"/>
    <w:rsid w:val="00F61237"/>
    <w:rsid w:val="00F61585"/>
    <w:rsid w:val="00F61B1A"/>
    <w:rsid w:val="00F62132"/>
    <w:rsid w:val="00F6228D"/>
    <w:rsid w:val="00F624F7"/>
    <w:rsid w:val="00F62883"/>
    <w:rsid w:val="00F62C17"/>
    <w:rsid w:val="00F62E43"/>
    <w:rsid w:val="00F630B5"/>
    <w:rsid w:val="00F63628"/>
    <w:rsid w:val="00F638B2"/>
    <w:rsid w:val="00F643EE"/>
    <w:rsid w:val="00F64948"/>
    <w:rsid w:val="00F64ADC"/>
    <w:rsid w:val="00F64BD0"/>
    <w:rsid w:val="00F64C0C"/>
    <w:rsid w:val="00F64EAA"/>
    <w:rsid w:val="00F65325"/>
    <w:rsid w:val="00F65779"/>
    <w:rsid w:val="00F665C5"/>
    <w:rsid w:val="00F6672D"/>
    <w:rsid w:val="00F66783"/>
    <w:rsid w:val="00F67062"/>
    <w:rsid w:val="00F67247"/>
    <w:rsid w:val="00F67DAD"/>
    <w:rsid w:val="00F67E92"/>
    <w:rsid w:val="00F67FE6"/>
    <w:rsid w:val="00F67FEE"/>
    <w:rsid w:val="00F700A2"/>
    <w:rsid w:val="00F70AEE"/>
    <w:rsid w:val="00F70B60"/>
    <w:rsid w:val="00F71033"/>
    <w:rsid w:val="00F718DB"/>
    <w:rsid w:val="00F71A55"/>
    <w:rsid w:val="00F723EE"/>
    <w:rsid w:val="00F725C0"/>
    <w:rsid w:val="00F72D37"/>
    <w:rsid w:val="00F72F98"/>
    <w:rsid w:val="00F733CE"/>
    <w:rsid w:val="00F7375E"/>
    <w:rsid w:val="00F7387C"/>
    <w:rsid w:val="00F7426F"/>
    <w:rsid w:val="00F74CD5"/>
    <w:rsid w:val="00F751AE"/>
    <w:rsid w:val="00F751ED"/>
    <w:rsid w:val="00F75BBA"/>
    <w:rsid w:val="00F75BE9"/>
    <w:rsid w:val="00F75F6A"/>
    <w:rsid w:val="00F75FF4"/>
    <w:rsid w:val="00F760F4"/>
    <w:rsid w:val="00F7619E"/>
    <w:rsid w:val="00F761CB"/>
    <w:rsid w:val="00F76F85"/>
    <w:rsid w:val="00F7728E"/>
    <w:rsid w:val="00F7783E"/>
    <w:rsid w:val="00F77877"/>
    <w:rsid w:val="00F77BCC"/>
    <w:rsid w:val="00F77EF5"/>
    <w:rsid w:val="00F800C1"/>
    <w:rsid w:val="00F80AC9"/>
    <w:rsid w:val="00F80B1E"/>
    <w:rsid w:val="00F80BAA"/>
    <w:rsid w:val="00F80BD5"/>
    <w:rsid w:val="00F80FCD"/>
    <w:rsid w:val="00F81496"/>
    <w:rsid w:val="00F815EC"/>
    <w:rsid w:val="00F817A6"/>
    <w:rsid w:val="00F824B5"/>
    <w:rsid w:val="00F82C19"/>
    <w:rsid w:val="00F83A5F"/>
    <w:rsid w:val="00F84064"/>
    <w:rsid w:val="00F8438A"/>
    <w:rsid w:val="00F84DAF"/>
    <w:rsid w:val="00F85342"/>
    <w:rsid w:val="00F85473"/>
    <w:rsid w:val="00F854E2"/>
    <w:rsid w:val="00F85A64"/>
    <w:rsid w:val="00F85FA3"/>
    <w:rsid w:val="00F8608D"/>
    <w:rsid w:val="00F863A8"/>
    <w:rsid w:val="00F863AA"/>
    <w:rsid w:val="00F86904"/>
    <w:rsid w:val="00F86BED"/>
    <w:rsid w:val="00F900DC"/>
    <w:rsid w:val="00F9048D"/>
    <w:rsid w:val="00F90609"/>
    <w:rsid w:val="00F90ED0"/>
    <w:rsid w:val="00F91BF6"/>
    <w:rsid w:val="00F91ED2"/>
    <w:rsid w:val="00F92213"/>
    <w:rsid w:val="00F927C1"/>
    <w:rsid w:val="00F93577"/>
    <w:rsid w:val="00F936C1"/>
    <w:rsid w:val="00F9384E"/>
    <w:rsid w:val="00F93DD9"/>
    <w:rsid w:val="00F93EB8"/>
    <w:rsid w:val="00F947F6"/>
    <w:rsid w:val="00F9486B"/>
    <w:rsid w:val="00F94899"/>
    <w:rsid w:val="00F94A83"/>
    <w:rsid w:val="00F94BBE"/>
    <w:rsid w:val="00F94C00"/>
    <w:rsid w:val="00F950B2"/>
    <w:rsid w:val="00F95CB5"/>
    <w:rsid w:val="00F95E87"/>
    <w:rsid w:val="00F95FCE"/>
    <w:rsid w:val="00F960A6"/>
    <w:rsid w:val="00F96A6E"/>
    <w:rsid w:val="00F96B3B"/>
    <w:rsid w:val="00F96B66"/>
    <w:rsid w:val="00F96C29"/>
    <w:rsid w:val="00F96F5A"/>
    <w:rsid w:val="00F973A9"/>
    <w:rsid w:val="00F97960"/>
    <w:rsid w:val="00F97988"/>
    <w:rsid w:val="00F97A3B"/>
    <w:rsid w:val="00F97B04"/>
    <w:rsid w:val="00F97C4A"/>
    <w:rsid w:val="00FA0172"/>
    <w:rsid w:val="00FA064F"/>
    <w:rsid w:val="00FA075E"/>
    <w:rsid w:val="00FA08CB"/>
    <w:rsid w:val="00FA0A2F"/>
    <w:rsid w:val="00FA100B"/>
    <w:rsid w:val="00FA10A7"/>
    <w:rsid w:val="00FA14FC"/>
    <w:rsid w:val="00FA18C0"/>
    <w:rsid w:val="00FA1953"/>
    <w:rsid w:val="00FA20AA"/>
    <w:rsid w:val="00FA2B02"/>
    <w:rsid w:val="00FA2E47"/>
    <w:rsid w:val="00FA2FEF"/>
    <w:rsid w:val="00FA3AC4"/>
    <w:rsid w:val="00FA3B4C"/>
    <w:rsid w:val="00FA3FB7"/>
    <w:rsid w:val="00FA4036"/>
    <w:rsid w:val="00FA497C"/>
    <w:rsid w:val="00FA5650"/>
    <w:rsid w:val="00FA56EE"/>
    <w:rsid w:val="00FA5D3E"/>
    <w:rsid w:val="00FA6BF5"/>
    <w:rsid w:val="00FA77A2"/>
    <w:rsid w:val="00FA78B8"/>
    <w:rsid w:val="00FA7CBF"/>
    <w:rsid w:val="00FA7EC1"/>
    <w:rsid w:val="00FA7F9F"/>
    <w:rsid w:val="00FB0143"/>
    <w:rsid w:val="00FB0C04"/>
    <w:rsid w:val="00FB1419"/>
    <w:rsid w:val="00FB1EB7"/>
    <w:rsid w:val="00FB201D"/>
    <w:rsid w:val="00FB219F"/>
    <w:rsid w:val="00FB2A1B"/>
    <w:rsid w:val="00FB2AF4"/>
    <w:rsid w:val="00FB2E21"/>
    <w:rsid w:val="00FB2F1D"/>
    <w:rsid w:val="00FB3180"/>
    <w:rsid w:val="00FB31DD"/>
    <w:rsid w:val="00FB34FC"/>
    <w:rsid w:val="00FB3B6C"/>
    <w:rsid w:val="00FB433E"/>
    <w:rsid w:val="00FB467D"/>
    <w:rsid w:val="00FB4A31"/>
    <w:rsid w:val="00FB4BCA"/>
    <w:rsid w:val="00FB4C44"/>
    <w:rsid w:val="00FB4E17"/>
    <w:rsid w:val="00FB55C6"/>
    <w:rsid w:val="00FB589A"/>
    <w:rsid w:val="00FB5924"/>
    <w:rsid w:val="00FB5A9E"/>
    <w:rsid w:val="00FB5C12"/>
    <w:rsid w:val="00FB60F2"/>
    <w:rsid w:val="00FB6AD2"/>
    <w:rsid w:val="00FB6C46"/>
    <w:rsid w:val="00FB6D22"/>
    <w:rsid w:val="00FB6D53"/>
    <w:rsid w:val="00FB6DDC"/>
    <w:rsid w:val="00FB7101"/>
    <w:rsid w:val="00FB7E71"/>
    <w:rsid w:val="00FC01AF"/>
    <w:rsid w:val="00FC07FB"/>
    <w:rsid w:val="00FC0990"/>
    <w:rsid w:val="00FC0E45"/>
    <w:rsid w:val="00FC0FF6"/>
    <w:rsid w:val="00FC120B"/>
    <w:rsid w:val="00FC188D"/>
    <w:rsid w:val="00FC1EFE"/>
    <w:rsid w:val="00FC1F23"/>
    <w:rsid w:val="00FC2054"/>
    <w:rsid w:val="00FC2264"/>
    <w:rsid w:val="00FC3985"/>
    <w:rsid w:val="00FC3A2A"/>
    <w:rsid w:val="00FC3A3D"/>
    <w:rsid w:val="00FC3C7A"/>
    <w:rsid w:val="00FC3E65"/>
    <w:rsid w:val="00FC3F61"/>
    <w:rsid w:val="00FC4874"/>
    <w:rsid w:val="00FC4992"/>
    <w:rsid w:val="00FC49AD"/>
    <w:rsid w:val="00FC4CC1"/>
    <w:rsid w:val="00FC5043"/>
    <w:rsid w:val="00FC586E"/>
    <w:rsid w:val="00FC5994"/>
    <w:rsid w:val="00FC5C0F"/>
    <w:rsid w:val="00FC5FFE"/>
    <w:rsid w:val="00FC6177"/>
    <w:rsid w:val="00FC64FB"/>
    <w:rsid w:val="00FC65EA"/>
    <w:rsid w:val="00FC6C56"/>
    <w:rsid w:val="00FC6CA2"/>
    <w:rsid w:val="00FC7376"/>
    <w:rsid w:val="00FC75CD"/>
    <w:rsid w:val="00FC7BAC"/>
    <w:rsid w:val="00FC7ECB"/>
    <w:rsid w:val="00FC7F4E"/>
    <w:rsid w:val="00FD0076"/>
    <w:rsid w:val="00FD0339"/>
    <w:rsid w:val="00FD034D"/>
    <w:rsid w:val="00FD05D4"/>
    <w:rsid w:val="00FD0773"/>
    <w:rsid w:val="00FD0BD4"/>
    <w:rsid w:val="00FD0C4B"/>
    <w:rsid w:val="00FD0F56"/>
    <w:rsid w:val="00FD0FB9"/>
    <w:rsid w:val="00FD1038"/>
    <w:rsid w:val="00FD1320"/>
    <w:rsid w:val="00FD2068"/>
    <w:rsid w:val="00FD25A5"/>
    <w:rsid w:val="00FD2875"/>
    <w:rsid w:val="00FD2C08"/>
    <w:rsid w:val="00FD2CE4"/>
    <w:rsid w:val="00FD44C3"/>
    <w:rsid w:val="00FD4602"/>
    <w:rsid w:val="00FD54C8"/>
    <w:rsid w:val="00FD553C"/>
    <w:rsid w:val="00FD5541"/>
    <w:rsid w:val="00FD57B8"/>
    <w:rsid w:val="00FD5ED3"/>
    <w:rsid w:val="00FD6068"/>
    <w:rsid w:val="00FD6100"/>
    <w:rsid w:val="00FD6D90"/>
    <w:rsid w:val="00FD6DE8"/>
    <w:rsid w:val="00FD7261"/>
    <w:rsid w:val="00FD72C4"/>
    <w:rsid w:val="00FD7818"/>
    <w:rsid w:val="00FD7C73"/>
    <w:rsid w:val="00FE0207"/>
    <w:rsid w:val="00FE0438"/>
    <w:rsid w:val="00FE04C2"/>
    <w:rsid w:val="00FE099B"/>
    <w:rsid w:val="00FE0BEC"/>
    <w:rsid w:val="00FE0C0D"/>
    <w:rsid w:val="00FE1206"/>
    <w:rsid w:val="00FE13D1"/>
    <w:rsid w:val="00FE1802"/>
    <w:rsid w:val="00FE1890"/>
    <w:rsid w:val="00FE19F1"/>
    <w:rsid w:val="00FE1ABF"/>
    <w:rsid w:val="00FE1F92"/>
    <w:rsid w:val="00FE239A"/>
    <w:rsid w:val="00FE2EA9"/>
    <w:rsid w:val="00FE2F26"/>
    <w:rsid w:val="00FE323D"/>
    <w:rsid w:val="00FE39CD"/>
    <w:rsid w:val="00FE3E1A"/>
    <w:rsid w:val="00FE3E42"/>
    <w:rsid w:val="00FE4469"/>
    <w:rsid w:val="00FE470B"/>
    <w:rsid w:val="00FE4A4A"/>
    <w:rsid w:val="00FE4BAB"/>
    <w:rsid w:val="00FE4D3B"/>
    <w:rsid w:val="00FE4E8A"/>
    <w:rsid w:val="00FE534D"/>
    <w:rsid w:val="00FE57C6"/>
    <w:rsid w:val="00FE5B84"/>
    <w:rsid w:val="00FE5ED8"/>
    <w:rsid w:val="00FE5F37"/>
    <w:rsid w:val="00FE612A"/>
    <w:rsid w:val="00FE6DDC"/>
    <w:rsid w:val="00FE7B73"/>
    <w:rsid w:val="00FE7FC1"/>
    <w:rsid w:val="00FF0171"/>
    <w:rsid w:val="00FF03DC"/>
    <w:rsid w:val="00FF06F2"/>
    <w:rsid w:val="00FF09A2"/>
    <w:rsid w:val="00FF0CDE"/>
    <w:rsid w:val="00FF0E7A"/>
    <w:rsid w:val="00FF109C"/>
    <w:rsid w:val="00FF11C2"/>
    <w:rsid w:val="00FF1363"/>
    <w:rsid w:val="00FF1DCC"/>
    <w:rsid w:val="00FF1FFD"/>
    <w:rsid w:val="00FF2050"/>
    <w:rsid w:val="00FF21AF"/>
    <w:rsid w:val="00FF28A1"/>
    <w:rsid w:val="00FF28E8"/>
    <w:rsid w:val="00FF297D"/>
    <w:rsid w:val="00FF2AC5"/>
    <w:rsid w:val="00FF3124"/>
    <w:rsid w:val="00FF318E"/>
    <w:rsid w:val="00FF3302"/>
    <w:rsid w:val="00FF343D"/>
    <w:rsid w:val="00FF36E2"/>
    <w:rsid w:val="00FF38ED"/>
    <w:rsid w:val="00FF3D70"/>
    <w:rsid w:val="00FF4563"/>
    <w:rsid w:val="00FF46EF"/>
    <w:rsid w:val="00FF4934"/>
    <w:rsid w:val="00FF49E9"/>
    <w:rsid w:val="00FF4B96"/>
    <w:rsid w:val="00FF4EBF"/>
    <w:rsid w:val="00FF504D"/>
    <w:rsid w:val="00FF5375"/>
    <w:rsid w:val="00FF5438"/>
    <w:rsid w:val="00FF58B7"/>
    <w:rsid w:val="00FF6DC6"/>
    <w:rsid w:val="00FF7709"/>
    <w:rsid w:val="00FF7B42"/>
    <w:rsid w:val="00FF7B8B"/>
    <w:rsid w:val="01C58C6B"/>
    <w:rsid w:val="02621576"/>
    <w:rsid w:val="028BB73D"/>
    <w:rsid w:val="0315950C"/>
    <w:rsid w:val="036C7015"/>
    <w:rsid w:val="037C46EC"/>
    <w:rsid w:val="04B15E9F"/>
    <w:rsid w:val="04DAA93D"/>
    <w:rsid w:val="04F496EF"/>
    <w:rsid w:val="054BA3CE"/>
    <w:rsid w:val="05A8C600"/>
    <w:rsid w:val="06080510"/>
    <w:rsid w:val="068DEDEE"/>
    <w:rsid w:val="075719FC"/>
    <w:rsid w:val="07A60EF9"/>
    <w:rsid w:val="07D812E9"/>
    <w:rsid w:val="08C86D55"/>
    <w:rsid w:val="091646CE"/>
    <w:rsid w:val="0A431C8B"/>
    <w:rsid w:val="0A60E3B7"/>
    <w:rsid w:val="0A8C79C7"/>
    <w:rsid w:val="0B5032A2"/>
    <w:rsid w:val="0B91A0B3"/>
    <w:rsid w:val="0BAF9C11"/>
    <w:rsid w:val="0CB5330F"/>
    <w:rsid w:val="0CE219B0"/>
    <w:rsid w:val="0D1A5C79"/>
    <w:rsid w:val="0D2F46DC"/>
    <w:rsid w:val="0F0E6477"/>
    <w:rsid w:val="0F8925DA"/>
    <w:rsid w:val="105E84A1"/>
    <w:rsid w:val="10A83AD3"/>
    <w:rsid w:val="112A3AA5"/>
    <w:rsid w:val="1145AB06"/>
    <w:rsid w:val="116151B4"/>
    <w:rsid w:val="1294F80A"/>
    <w:rsid w:val="133CC1B6"/>
    <w:rsid w:val="137D12AC"/>
    <w:rsid w:val="149C95BE"/>
    <w:rsid w:val="14ED4A62"/>
    <w:rsid w:val="15BBDD27"/>
    <w:rsid w:val="16FD94B9"/>
    <w:rsid w:val="1713B75B"/>
    <w:rsid w:val="17C36050"/>
    <w:rsid w:val="17C4B605"/>
    <w:rsid w:val="18F027DD"/>
    <w:rsid w:val="19475B9D"/>
    <w:rsid w:val="19764F05"/>
    <w:rsid w:val="19E3354A"/>
    <w:rsid w:val="1A487668"/>
    <w:rsid w:val="1A9ABB63"/>
    <w:rsid w:val="1AAB285E"/>
    <w:rsid w:val="1AAE716F"/>
    <w:rsid w:val="1B3C068A"/>
    <w:rsid w:val="1BD00C02"/>
    <w:rsid w:val="1BEC8E6B"/>
    <w:rsid w:val="1C571EAD"/>
    <w:rsid w:val="1CC47592"/>
    <w:rsid w:val="1D30539E"/>
    <w:rsid w:val="1DB695C9"/>
    <w:rsid w:val="1E33C26B"/>
    <w:rsid w:val="1E3AC590"/>
    <w:rsid w:val="1EBB9393"/>
    <w:rsid w:val="1EC90FC4"/>
    <w:rsid w:val="1F2439B8"/>
    <w:rsid w:val="1F69BF84"/>
    <w:rsid w:val="1FD4AEB1"/>
    <w:rsid w:val="2139C04F"/>
    <w:rsid w:val="2154CFF0"/>
    <w:rsid w:val="2269BB52"/>
    <w:rsid w:val="22B89805"/>
    <w:rsid w:val="22DD9285"/>
    <w:rsid w:val="2309621D"/>
    <w:rsid w:val="23124F68"/>
    <w:rsid w:val="23B58FF9"/>
    <w:rsid w:val="23D3315C"/>
    <w:rsid w:val="247BAE0E"/>
    <w:rsid w:val="24EDCAB3"/>
    <w:rsid w:val="2640084E"/>
    <w:rsid w:val="268465DE"/>
    <w:rsid w:val="27D65CEC"/>
    <w:rsid w:val="287EBE31"/>
    <w:rsid w:val="28AE9168"/>
    <w:rsid w:val="28B68568"/>
    <w:rsid w:val="2913EADD"/>
    <w:rsid w:val="29EE89F5"/>
    <w:rsid w:val="29EE97C7"/>
    <w:rsid w:val="2A193E9C"/>
    <w:rsid w:val="2A6F7062"/>
    <w:rsid w:val="2B37D14A"/>
    <w:rsid w:val="2D0EAAF6"/>
    <w:rsid w:val="2D5C860B"/>
    <w:rsid w:val="2DEFE37E"/>
    <w:rsid w:val="30A0A60D"/>
    <w:rsid w:val="30D8CA06"/>
    <w:rsid w:val="30FF7082"/>
    <w:rsid w:val="321F8B24"/>
    <w:rsid w:val="32692371"/>
    <w:rsid w:val="32BD80F8"/>
    <w:rsid w:val="33EF179D"/>
    <w:rsid w:val="341C4DDC"/>
    <w:rsid w:val="34B28478"/>
    <w:rsid w:val="34B47B4D"/>
    <w:rsid w:val="34BE2E40"/>
    <w:rsid w:val="3555FCF6"/>
    <w:rsid w:val="36100D0D"/>
    <w:rsid w:val="36135233"/>
    <w:rsid w:val="3656A4A2"/>
    <w:rsid w:val="3660B6CD"/>
    <w:rsid w:val="366A2349"/>
    <w:rsid w:val="36B9489C"/>
    <w:rsid w:val="36C3F4BC"/>
    <w:rsid w:val="36D7A8DB"/>
    <w:rsid w:val="372C79DB"/>
    <w:rsid w:val="376BD054"/>
    <w:rsid w:val="3789CEDE"/>
    <w:rsid w:val="37E4EEDF"/>
    <w:rsid w:val="386261EE"/>
    <w:rsid w:val="39425E09"/>
    <w:rsid w:val="3A183342"/>
    <w:rsid w:val="3AABD413"/>
    <w:rsid w:val="3AC2667E"/>
    <w:rsid w:val="3B62CA7B"/>
    <w:rsid w:val="3B96AD61"/>
    <w:rsid w:val="3BECF4AB"/>
    <w:rsid w:val="3C55854C"/>
    <w:rsid w:val="3CBA305D"/>
    <w:rsid w:val="3DBD8045"/>
    <w:rsid w:val="3E02699D"/>
    <w:rsid w:val="3E2E00F6"/>
    <w:rsid w:val="3E6E020C"/>
    <w:rsid w:val="3EAB9DC6"/>
    <w:rsid w:val="3EAE682B"/>
    <w:rsid w:val="3EFDB48D"/>
    <w:rsid w:val="3F009D45"/>
    <w:rsid w:val="3F294546"/>
    <w:rsid w:val="3F8B2DD0"/>
    <w:rsid w:val="3FA35913"/>
    <w:rsid w:val="3FF9F94B"/>
    <w:rsid w:val="400FE5F7"/>
    <w:rsid w:val="407D7CD8"/>
    <w:rsid w:val="41C49F1F"/>
    <w:rsid w:val="41ED5E00"/>
    <w:rsid w:val="421CC3BA"/>
    <w:rsid w:val="422AFFDC"/>
    <w:rsid w:val="436DD158"/>
    <w:rsid w:val="43B2D191"/>
    <w:rsid w:val="43E8D202"/>
    <w:rsid w:val="4408FED2"/>
    <w:rsid w:val="4432BCC0"/>
    <w:rsid w:val="4489F80E"/>
    <w:rsid w:val="44B2C6B0"/>
    <w:rsid w:val="465C89B4"/>
    <w:rsid w:val="4669A2A9"/>
    <w:rsid w:val="473427E7"/>
    <w:rsid w:val="476A3E52"/>
    <w:rsid w:val="477373C0"/>
    <w:rsid w:val="4839231F"/>
    <w:rsid w:val="486A4E86"/>
    <w:rsid w:val="48E7BC52"/>
    <w:rsid w:val="497F94A7"/>
    <w:rsid w:val="49EB3463"/>
    <w:rsid w:val="4AECC176"/>
    <w:rsid w:val="4B9186AE"/>
    <w:rsid w:val="4C66E3A7"/>
    <w:rsid w:val="4DA8E472"/>
    <w:rsid w:val="4E08382A"/>
    <w:rsid w:val="4E0D6DC4"/>
    <w:rsid w:val="4E7218D5"/>
    <w:rsid w:val="4F1AF86D"/>
    <w:rsid w:val="4F44F582"/>
    <w:rsid w:val="4F972FE0"/>
    <w:rsid w:val="4FDF520F"/>
    <w:rsid w:val="50DB4F55"/>
    <w:rsid w:val="516F3C26"/>
    <w:rsid w:val="51CDCD74"/>
    <w:rsid w:val="520486C5"/>
    <w:rsid w:val="5320145A"/>
    <w:rsid w:val="53EA3D67"/>
    <w:rsid w:val="54218554"/>
    <w:rsid w:val="547C4B11"/>
    <w:rsid w:val="547DB0EC"/>
    <w:rsid w:val="54BFADF9"/>
    <w:rsid w:val="54D02082"/>
    <w:rsid w:val="55019821"/>
    <w:rsid w:val="567ABCFD"/>
    <w:rsid w:val="56CB28B7"/>
    <w:rsid w:val="5714C7AF"/>
    <w:rsid w:val="57AE7B18"/>
    <w:rsid w:val="584593F6"/>
    <w:rsid w:val="589C67F6"/>
    <w:rsid w:val="591ECCCB"/>
    <w:rsid w:val="5930059D"/>
    <w:rsid w:val="59B04FAC"/>
    <w:rsid w:val="5A29BEE2"/>
    <w:rsid w:val="5BD8C353"/>
    <w:rsid w:val="5C1631FA"/>
    <w:rsid w:val="5CA54A40"/>
    <w:rsid w:val="5E50F4B2"/>
    <w:rsid w:val="5F488570"/>
    <w:rsid w:val="6024DF2A"/>
    <w:rsid w:val="60836426"/>
    <w:rsid w:val="6143070D"/>
    <w:rsid w:val="61DD432D"/>
    <w:rsid w:val="62A2AFD9"/>
    <w:rsid w:val="6339CE91"/>
    <w:rsid w:val="63BA097C"/>
    <w:rsid w:val="652B076A"/>
    <w:rsid w:val="658B0154"/>
    <w:rsid w:val="6600A9D2"/>
    <w:rsid w:val="6634B9C1"/>
    <w:rsid w:val="669A6A8A"/>
    <w:rsid w:val="67ABA327"/>
    <w:rsid w:val="67B44CD2"/>
    <w:rsid w:val="6896C8EB"/>
    <w:rsid w:val="689C7997"/>
    <w:rsid w:val="697CEEAA"/>
    <w:rsid w:val="6A2452D2"/>
    <w:rsid w:val="6A6BC35A"/>
    <w:rsid w:val="6A77559C"/>
    <w:rsid w:val="6B74CDC7"/>
    <w:rsid w:val="6C5ECF72"/>
    <w:rsid w:val="6C7BC95E"/>
    <w:rsid w:val="6D462F37"/>
    <w:rsid w:val="6D520DD0"/>
    <w:rsid w:val="6D546BB0"/>
    <w:rsid w:val="6DDB3260"/>
    <w:rsid w:val="6E9EF3CD"/>
    <w:rsid w:val="6EB7F805"/>
    <w:rsid w:val="6F0E5569"/>
    <w:rsid w:val="7028F5F3"/>
    <w:rsid w:val="7139E55D"/>
    <w:rsid w:val="715F83CB"/>
    <w:rsid w:val="718A81CB"/>
    <w:rsid w:val="71B4879C"/>
    <w:rsid w:val="73664761"/>
    <w:rsid w:val="73702EA5"/>
    <w:rsid w:val="737D49B9"/>
    <w:rsid w:val="73FD5D99"/>
    <w:rsid w:val="744C7D15"/>
    <w:rsid w:val="747F5DF1"/>
    <w:rsid w:val="74CBBCB8"/>
    <w:rsid w:val="755EA22B"/>
    <w:rsid w:val="756668EE"/>
    <w:rsid w:val="75EF0A14"/>
    <w:rsid w:val="75FA3A70"/>
    <w:rsid w:val="765A1492"/>
    <w:rsid w:val="7676BCED"/>
    <w:rsid w:val="772D61ED"/>
    <w:rsid w:val="772ED73D"/>
    <w:rsid w:val="773A48B1"/>
    <w:rsid w:val="779BDC3D"/>
    <w:rsid w:val="77A64989"/>
    <w:rsid w:val="77BFB587"/>
    <w:rsid w:val="786AE158"/>
    <w:rsid w:val="794AC564"/>
    <w:rsid w:val="798F6306"/>
    <w:rsid w:val="79C72165"/>
    <w:rsid w:val="7AC1D4C4"/>
    <w:rsid w:val="7ACFB59C"/>
    <w:rsid w:val="7AF71BF1"/>
    <w:rsid w:val="7BFACD2B"/>
    <w:rsid w:val="7C63CB48"/>
    <w:rsid w:val="7D379999"/>
    <w:rsid w:val="7D37F56C"/>
    <w:rsid w:val="7D729A37"/>
    <w:rsid w:val="7D915F65"/>
    <w:rsid w:val="7E549F7A"/>
    <w:rsid w:val="7EDEBF2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A1CC7BC"/>
  <w15:docId w15:val="{98CEF5A2-8719-484F-BF92-1AD3922D4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3EB8"/>
    <w:pPr>
      <w:jc w:val="both"/>
    </w:pPr>
  </w:style>
  <w:style w:type="paragraph" w:styleId="Heading1">
    <w:name w:val="heading 1"/>
    <w:basedOn w:val="Normal"/>
    <w:next w:val="Normal"/>
    <w:link w:val="Heading1Char"/>
    <w:uiPriority w:val="9"/>
    <w:qFormat/>
    <w:rsid w:val="007E713D"/>
    <w:pPr>
      <w:keepNext/>
      <w:keepLines/>
      <w:numPr>
        <w:numId w:val="12"/>
      </w:numPr>
      <w:spacing w:before="480" w:after="0"/>
      <w:jc w:val="left"/>
      <w:outlineLvl w:val="0"/>
    </w:pPr>
    <w:rPr>
      <w:rFonts w:asciiTheme="majorHAnsi" w:eastAsiaTheme="majorEastAsia" w:hAnsiTheme="majorHAnsi" w:cstheme="majorBidi"/>
      <w:b/>
      <w:bCs/>
      <w:color w:val="365F91" w:themeColor="accent1" w:themeShade="BF"/>
      <w:sz w:val="52"/>
      <w:szCs w:val="52"/>
      <w:lang w:val="en-US"/>
    </w:rPr>
  </w:style>
  <w:style w:type="paragraph" w:styleId="Heading2">
    <w:name w:val="heading 2"/>
    <w:basedOn w:val="Normal"/>
    <w:next w:val="Normal"/>
    <w:link w:val="Heading2Char"/>
    <w:uiPriority w:val="9"/>
    <w:unhideWhenUsed/>
    <w:qFormat/>
    <w:rsid w:val="00823539"/>
    <w:pPr>
      <w:keepNext/>
      <w:keepLines/>
      <w:numPr>
        <w:ilvl w:val="1"/>
        <w:numId w:val="12"/>
      </w:numPr>
      <w:spacing w:before="200" w:after="24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qFormat/>
    <w:rsid w:val="00242EB0"/>
    <w:pPr>
      <w:keepNext/>
      <w:keepLines/>
      <w:numPr>
        <w:ilvl w:val="2"/>
        <w:numId w:val="12"/>
      </w:numPr>
      <w:spacing w:before="200" w:after="240"/>
      <w:outlineLvl w:val="2"/>
    </w:pPr>
    <w:rPr>
      <w:rFonts w:ascii="Cambria" w:eastAsia="MS Mincho" w:hAnsi="Cambria" w:cs="Times New Roman"/>
      <w:b/>
      <w:bCs/>
      <w:color w:val="4F81BD"/>
      <w:sz w:val="23"/>
      <w:szCs w:val="23"/>
    </w:rPr>
  </w:style>
  <w:style w:type="paragraph" w:styleId="Heading4">
    <w:name w:val="heading 4"/>
    <w:basedOn w:val="Normal"/>
    <w:next w:val="Normal"/>
    <w:link w:val="Heading4Char"/>
    <w:uiPriority w:val="9"/>
    <w:semiHidden/>
    <w:unhideWhenUsed/>
    <w:qFormat/>
    <w:rsid w:val="00823539"/>
    <w:pPr>
      <w:keepNext/>
      <w:keepLines/>
      <w:numPr>
        <w:ilvl w:val="3"/>
        <w:numId w:val="1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823539"/>
    <w:pPr>
      <w:keepNext/>
      <w:keepLines/>
      <w:numPr>
        <w:ilvl w:val="4"/>
        <w:numId w:val="12"/>
      </w:numPr>
      <w:tabs>
        <w:tab w:val="num" w:pos="360"/>
      </w:tabs>
      <w:spacing w:before="200" w:after="0"/>
      <w:ind w:left="0" w:firstLine="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23539"/>
    <w:pPr>
      <w:keepNext/>
      <w:keepLines/>
      <w:numPr>
        <w:ilvl w:val="5"/>
        <w:numId w:val="12"/>
      </w:numPr>
      <w:tabs>
        <w:tab w:val="num" w:pos="360"/>
      </w:tabs>
      <w:spacing w:before="200" w:after="0"/>
      <w:ind w:left="0" w:firstLine="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823539"/>
    <w:pPr>
      <w:keepNext/>
      <w:keepLines/>
      <w:numPr>
        <w:ilvl w:val="6"/>
        <w:numId w:val="12"/>
      </w:numPr>
      <w:tabs>
        <w:tab w:val="num" w:pos="360"/>
      </w:tabs>
      <w:spacing w:before="200" w:after="0"/>
      <w:ind w:left="0" w:firstLine="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23539"/>
    <w:pPr>
      <w:keepNext/>
      <w:keepLines/>
      <w:numPr>
        <w:ilvl w:val="7"/>
        <w:numId w:val="12"/>
      </w:numPr>
      <w:tabs>
        <w:tab w:val="num" w:pos="360"/>
      </w:tabs>
      <w:spacing w:before="200" w:after="0"/>
      <w:ind w:left="0" w:firstLine="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823539"/>
    <w:pPr>
      <w:keepNext/>
      <w:keepLines/>
      <w:numPr>
        <w:ilvl w:val="8"/>
        <w:numId w:val="12"/>
      </w:numPr>
      <w:tabs>
        <w:tab w:val="num" w:pos="360"/>
      </w:tabs>
      <w:spacing w:before="200" w:after="0"/>
      <w:ind w:left="0" w:firstLine="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umbered Para 1,Dot pt,No Spacing1,List Paragraph Char Char Char,Indicator Text,List Paragraph1,Bullet Points,Bullet 1,MAIN CONTENT,List Paragraph12,F5 List Paragraph,OBC Bullet,Colorful List - Accent 11,Normal numbered,List Paragraph11"/>
    <w:basedOn w:val="Normal"/>
    <w:link w:val="ListParagraphChar"/>
    <w:uiPriority w:val="34"/>
    <w:qFormat/>
    <w:rsid w:val="001808C5"/>
    <w:pPr>
      <w:ind w:left="720"/>
      <w:contextualSpacing/>
    </w:pPr>
  </w:style>
  <w:style w:type="character" w:customStyle="1" w:styleId="Heading1Char">
    <w:name w:val="Heading 1 Char"/>
    <w:basedOn w:val="DefaultParagraphFont"/>
    <w:link w:val="Heading1"/>
    <w:uiPriority w:val="9"/>
    <w:rsid w:val="007E713D"/>
    <w:rPr>
      <w:rFonts w:asciiTheme="majorHAnsi" w:eastAsiaTheme="majorEastAsia" w:hAnsiTheme="majorHAnsi" w:cstheme="majorBidi"/>
      <w:b/>
      <w:bCs/>
      <w:color w:val="365F91" w:themeColor="accent1" w:themeShade="BF"/>
      <w:sz w:val="52"/>
      <w:szCs w:val="52"/>
      <w:lang w:val="en-US"/>
    </w:rPr>
  </w:style>
  <w:style w:type="paragraph" w:styleId="DocumentMap">
    <w:name w:val="Document Map"/>
    <w:basedOn w:val="Normal"/>
    <w:link w:val="DocumentMapChar"/>
    <w:uiPriority w:val="99"/>
    <w:semiHidden/>
    <w:unhideWhenUsed/>
    <w:rsid w:val="005472B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5472B2"/>
    <w:rPr>
      <w:rFonts w:ascii="Tahoma" w:hAnsi="Tahoma" w:cs="Tahoma"/>
      <w:sz w:val="16"/>
      <w:szCs w:val="16"/>
    </w:rPr>
  </w:style>
  <w:style w:type="character" w:customStyle="1" w:styleId="Heading2Char">
    <w:name w:val="Heading 2 Char"/>
    <w:basedOn w:val="DefaultParagraphFont"/>
    <w:link w:val="Heading2"/>
    <w:uiPriority w:val="9"/>
    <w:rsid w:val="00823539"/>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rsid w:val="0095386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aliases w:val="RSK-FT,RSK-FT1,RSK-FT2,Harestanes Ref,Harestanes Ref Char Char,Harestanes Ref Char Char Char Char,-E Fußnotentext,Fußnotentext Ursprung,Fußnotentextf,Footnote text,Char Char,TBG Style,Footnote Text Char1 Char,Footnote Text Char Char Char"/>
    <w:basedOn w:val="Normal"/>
    <w:link w:val="FootnoteTextChar"/>
    <w:uiPriority w:val="99"/>
    <w:unhideWhenUsed/>
    <w:rsid w:val="000F3905"/>
    <w:pPr>
      <w:spacing w:after="0" w:line="240" w:lineRule="auto"/>
    </w:pPr>
    <w:rPr>
      <w:sz w:val="20"/>
      <w:szCs w:val="20"/>
    </w:rPr>
  </w:style>
  <w:style w:type="character" w:customStyle="1" w:styleId="FootnoteTextChar">
    <w:name w:val="Footnote Text Char"/>
    <w:aliases w:val="RSK-FT Char,RSK-FT1 Char,RSK-FT2 Char,Harestanes Ref Char,Harestanes Ref Char Char Char,Harestanes Ref Char Char Char Char Char,-E Fußnotentext Char,Fußnotentext Ursprung Char,Fußnotentextf Char,Footnote text Char,Char Char Char"/>
    <w:basedOn w:val="DefaultParagraphFont"/>
    <w:link w:val="FootnoteText"/>
    <w:uiPriority w:val="99"/>
    <w:rsid w:val="000F3905"/>
    <w:rPr>
      <w:sz w:val="20"/>
      <w:szCs w:val="20"/>
    </w:rPr>
  </w:style>
  <w:style w:type="character" w:styleId="FootnoteReference">
    <w:name w:val="footnote reference"/>
    <w:aliases w:val="-E Fußnotenzeichen,fr,SUPERS,EN Footnote Reference,number,ftref,16 Point,Superscript 6 Point,Footnote symbol,Footnote reference number,Times 10 Point,Exposant 3 Point,Ref,de nota al pie,note TESI,stylish,Footnote,FR,BVI fnr"/>
    <w:basedOn w:val="DefaultParagraphFont"/>
    <w:uiPriority w:val="99"/>
    <w:unhideWhenUsed/>
    <w:rsid w:val="000F3905"/>
    <w:rPr>
      <w:vertAlign w:val="superscript"/>
    </w:rPr>
  </w:style>
  <w:style w:type="character" w:styleId="Hyperlink">
    <w:name w:val="Hyperlink"/>
    <w:basedOn w:val="DefaultParagraphFont"/>
    <w:uiPriority w:val="99"/>
    <w:unhideWhenUsed/>
    <w:rsid w:val="000F3905"/>
    <w:rPr>
      <w:color w:val="0000FF" w:themeColor="hyperlink"/>
      <w:u w:val="single"/>
    </w:rPr>
  </w:style>
  <w:style w:type="paragraph" w:customStyle="1" w:styleId="Default">
    <w:name w:val="Default"/>
    <w:rsid w:val="005C4D7A"/>
    <w:pPr>
      <w:autoSpaceDE w:val="0"/>
      <w:autoSpaceDN w:val="0"/>
      <w:adjustRightInd w:val="0"/>
      <w:spacing w:after="0" w:line="240" w:lineRule="auto"/>
    </w:pPr>
    <w:rPr>
      <w:rFonts w:ascii="Calibri" w:hAnsi="Calibri" w:cs="Calibri"/>
      <w:color w:val="000000"/>
      <w:sz w:val="24"/>
      <w:szCs w:val="24"/>
    </w:rPr>
  </w:style>
  <w:style w:type="paragraph" w:styleId="Title">
    <w:name w:val="Title"/>
    <w:basedOn w:val="Normal"/>
    <w:next w:val="Normal"/>
    <w:link w:val="TitleChar"/>
    <w:uiPriority w:val="10"/>
    <w:qFormat/>
    <w:rsid w:val="00B023C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023CE"/>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B023C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B023CE"/>
    <w:rPr>
      <w:rFonts w:asciiTheme="majorHAnsi" w:eastAsiaTheme="majorEastAsia" w:hAnsiTheme="majorHAnsi" w:cstheme="majorBidi"/>
      <w:i/>
      <w:iCs/>
      <w:color w:val="4F81BD" w:themeColor="accent1"/>
      <w:spacing w:val="15"/>
      <w:sz w:val="24"/>
      <w:szCs w:val="24"/>
    </w:rPr>
  </w:style>
  <w:style w:type="character" w:styleId="IntenseEmphasis">
    <w:name w:val="Intense Emphasis"/>
    <w:basedOn w:val="DefaultParagraphFont"/>
    <w:uiPriority w:val="21"/>
    <w:qFormat/>
    <w:rsid w:val="00B023CE"/>
    <w:rPr>
      <w:b/>
      <w:bCs/>
      <w:i/>
      <w:iCs/>
      <w:color w:val="4F81BD" w:themeColor="accent1"/>
    </w:rPr>
  </w:style>
  <w:style w:type="paragraph" w:styleId="BalloonText">
    <w:name w:val="Balloon Text"/>
    <w:basedOn w:val="Normal"/>
    <w:link w:val="BalloonTextChar"/>
    <w:uiPriority w:val="99"/>
    <w:semiHidden/>
    <w:unhideWhenUsed/>
    <w:rsid w:val="00AD5D7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5D7B"/>
    <w:rPr>
      <w:rFonts w:ascii="Tahoma" w:hAnsi="Tahoma" w:cs="Tahoma"/>
      <w:sz w:val="16"/>
      <w:szCs w:val="16"/>
    </w:rPr>
  </w:style>
  <w:style w:type="character" w:customStyle="1" w:styleId="Heading3Char">
    <w:name w:val="Heading 3 Char"/>
    <w:basedOn w:val="DefaultParagraphFont"/>
    <w:link w:val="Heading3"/>
    <w:uiPriority w:val="9"/>
    <w:rsid w:val="00242EB0"/>
    <w:rPr>
      <w:rFonts w:ascii="Cambria" w:eastAsia="MS Mincho" w:hAnsi="Cambria" w:cs="Times New Roman"/>
      <w:b/>
      <w:bCs/>
      <w:color w:val="4F81BD"/>
      <w:sz w:val="23"/>
      <w:szCs w:val="23"/>
    </w:rPr>
  </w:style>
  <w:style w:type="character" w:styleId="Strong">
    <w:name w:val="Strong"/>
    <w:basedOn w:val="DefaultParagraphFont"/>
    <w:uiPriority w:val="22"/>
    <w:qFormat/>
    <w:rsid w:val="001357AC"/>
    <w:rPr>
      <w:rFonts w:cs="Times New Roman"/>
      <w:b/>
      <w:bCs/>
    </w:rPr>
  </w:style>
  <w:style w:type="paragraph" w:styleId="TOC2">
    <w:name w:val="toc 2"/>
    <w:basedOn w:val="Normal"/>
    <w:next w:val="Normal"/>
    <w:autoRedefine/>
    <w:uiPriority w:val="39"/>
    <w:rsid w:val="00A871BA"/>
    <w:pPr>
      <w:tabs>
        <w:tab w:val="left" w:pos="880"/>
        <w:tab w:val="right" w:leader="dot" w:pos="9072"/>
      </w:tabs>
      <w:spacing w:before="120" w:after="0" w:line="240" w:lineRule="auto"/>
      <w:ind w:left="896" w:right="-1" w:hanging="612"/>
    </w:pPr>
    <w:rPr>
      <w:rFonts w:ascii="Calibri" w:eastAsia="MS Mincho" w:hAnsi="Calibri" w:cs="Arial"/>
    </w:rPr>
  </w:style>
  <w:style w:type="paragraph" w:styleId="TOC3">
    <w:name w:val="toc 3"/>
    <w:basedOn w:val="Normal"/>
    <w:next w:val="Normal"/>
    <w:autoRedefine/>
    <w:uiPriority w:val="39"/>
    <w:rsid w:val="004B0C9E"/>
    <w:pPr>
      <w:tabs>
        <w:tab w:val="left" w:pos="1320"/>
        <w:tab w:val="right" w:pos="9072"/>
      </w:tabs>
      <w:spacing w:before="60" w:after="0" w:line="240" w:lineRule="auto"/>
      <w:ind w:left="993" w:right="-1" w:hanging="551"/>
    </w:pPr>
    <w:rPr>
      <w:rFonts w:ascii="Calibri" w:eastAsia="MS Mincho" w:hAnsi="Calibri" w:cs="Arial"/>
      <w:i/>
    </w:rPr>
  </w:style>
  <w:style w:type="paragraph" w:styleId="TOC1">
    <w:name w:val="toc 1"/>
    <w:basedOn w:val="Normal"/>
    <w:next w:val="Normal"/>
    <w:autoRedefine/>
    <w:uiPriority w:val="39"/>
    <w:unhideWhenUsed/>
    <w:rsid w:val="00C162D8"/>
    <w:pPr>
      <w:keepNext/>
      <w:tabs>
        <w:tab w:val="left" w:pos="442"/>
        <w:tab w:val="left" w:pos="1320"/>
        <w:tab w:val="right" w:leader="dot" w:pos="9072"/>
      </w:tabs>
      <w:spacing w:before="240" w:after="0" w:line="240" w:lineRule="auto"/>
      <w:ind w:right="-1"/>
    </w:pPr>
    <w:rPr>
      <w:rFonts w:ascii="Calibri" w:eastAsia="MS Mincho" w:hAnsi="Calibri" w:cs="Arial"/>
      <w:b/>
    </w:rPr>
  </w:style>
  <w:style w:type="paragraph" w:styleId="TOCHeading">
    <w:name w:val="TOC Heading"/>
    <w:basedOn w:val="Heading1"/>
    <w:next w:val="Normal"/>
    <w:uiPriority w:val="39"/>
    <w:unhideWhenUsed/>
    <w:qFormat/>
    <w:rsid w:val="00D93764"/>
    <w:pPr>
      <w:numPr>
        <w:numId w:val="4"/>
      </w:numPr>
      <w:outlineLvl w:val="9"/>
    </w:pPr>
    <w:rPr>
      <w:lang w:eastAsia="ja-JP"/>
    </w:rPr>
  </w:style>
  <w:style w:type="paragraph" w:styleId="Caption">
    <w:name w:val="caption"/>
    <w:aliases w:val="B 1,Beskrivning Char1,Picture Char1,Beskrivning Char Char,Beskrivning Char1 Char Char,Picture Char1 Char Char,Beskrivning Char Char Char Char,Picture Char Char Char Char,Picture Char Char,Picture Char1 Ch... Char Char,cap Char,cap1 Char,Tabellen"/>
    <w:basedOn w:val="Normal"/>
    <w:next w:val="Normal"/>
    <w:link w:val="CaptionChar"/>
    <w:unhideWhenUsed/>
    <w:qFormat/>
    <w:rsid w:val="00A61450"/>
    <w:pPr>
      <w:spacing w:after="240" w:line="240" w:lineRule="auto"/>
      <w:jc w:val="center"/>
    </w:pPr>
    <w:rPr>
      <w:rFonts w:ascii="Calibri" w:eastAsia="MS Mincho" w:hAnsi="Calibri" w:cs="Arial"/>
      <w:b/>
      <w:bCs/>
      <w:color w:val="4F81BD" w:themeColor="accent1"/>
      <w:szCs w:val="18"/>
    </w:rPr>
  </w:style>
  <w:style w:type="paragraph" w:customStyle="1" w:styleId="Text">
    <w:name w:val="Text"/>
    <w:basedOn w:val="Normal"/>
    <w:rsid w:val="009535FD"/>
    <w:pPr>
      <w:widowControl w:val="0"/>
      <w:spacing w:after="0" w:line="252" w:lineRule="auto"/>
      <w:ind w:firstLine="240"/>
    </w:pPr>
    <w:rPr>
      <w:rFonts w:ascii="Times New Roman" w:eastAsia="Times New Roman" w:hAnsi="Times New Roman" w:cs="Times New Roman"/>
      <w:sz w:val="20"/>
      <w:szCs w:val="20"/>
      <w:lang w:val="en-US"/>
    </w:rPr>
  </w:style>
  <w:style w:type="paragraph" w:styleId="NoSpacing">
    <w:name w:val="No Spacing"/>
    <w:uiPriority w:val="1"/>
    <w:qFormat/>
    <w:rsid w:val="00443590"/>
    <w:pPr>
      <w:spacing w:after="0" w:line="240" w:lineRule="auto"/>
    </w:pPr>
    <w:rPr>
      <w:rFonts w:ascii="Calibri" w:eastAsia="MS Mincho" w:hAnsi="Calibri" w:cs="Arial"/>
    </w:rPr>
  </w:style>
  <w:style w:type="paragraph" w:styleId="NormalWeb">
    <w:name w:val="Normal (Web)"/>
    <w:basedOn w:val="Normal"/>
    <w:uiPriority w:val="99"/>
    <w:unhideWhenUsed/>
    <w:rsid w:val="001020CF"/>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76663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66639"/>
  </w:style>
  <w:style w:type="paragraph" w:styleId="Footer">
    <w:name w:val="footer"/>
    <w:basedOn w:val="Normal"/>
    <w:link w:val="FooterChar"/>
    <w:uiPriority w:val="99"/>
    <w:unhideWhenUsed/>
    <w:rsid w:val="0076663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66639"/>
  </w:style>
  <w:style w:type="paragraph" w:styleId="BodyText">
    <w:name w:val="Body Text"/>
    <w:basedOn w:val="Normal"/>
    <w:link w:val="BodyTextChar"/>
    <w:autoRedefine/>
    <w:uiPriority w:val="99"/>
    <w:unhideWhenUsed/>
    <w:rsid w:val="001231C5"/>
    <w:pPr>
      <w:numPr>
        <w:ilvl w:val="1"/>
        <w:numId w:val="15"/>
      </w:numPr>
      <w:spacing w:before="120" w:after="120" w:line="240" w:lineRule="auto"/>
      <w:ind w:left="0"/>
    </w:pPr>
    <w:rPr>
      <w:rFonts w:cs="Times New Roman"/>
      <w:color w:val="000000"/>
    </w:rPr>
  </w:style>
  <w:style w:type="character" w:customStyle="1" w:styleId="BodyTextChar">
    <w:name w:val="Body Text Char"/>
    <w:basedOn w:val="DefaultParagraphFont"/>
    <w:link w:val="BodyText"/>
    <w:uiPriority w:val="99"/>
    <w:rsid w:val="001231C5"/>
    <w:rPr>
      <w:rFonts w:cs="Times New Roman"/>
      <w:color w:val="000000"/>
    </w:rPr>
  </w:style>
  <w:style w:type="character" w:styleId="CommentReference">
    <w:name w:val="annotation reference"/>
    <w:basedOn w:val="DefaultParagraphFont"/>
    <w:uiPriority w:val="99"/>
    <w:semiHidden/>
    <w:unhideWhenUsed/>
    <w:rsid w:val="002E6274"/>
    <w:rPr>
      <w:sz w:val="16"/>
      <w:szCs w:val="16"/>
    </w:rPr>
  </w:style>
  <w:style w:type="paragraph" w:styleId="CommentText">
    <w:name w:val="annotation text"/>
    <w:basedOn w:val="Normal"/>
    <w:link w:val="CommentTextChar"/>
    <w:uiPriority w:val="99"/>
    <w:unhideWhenUsed/>
    <w:rsid w:val="002E6274"/>
    <w:pPr>
      <w:spacing w:line="240" w:lineRule="auto"/>
    </w:pPr>
    <w:rPr>
      <w:sz w:val="20"/>
      <w:szCs w:val="20"/>
    </w:rPr>
  </w:style>
  <w:style w:type="character" w:customStyle="1" w:styleId="CommentTextChar">
    <w:name w:val="Comment Text Char"/>
    <w:basedOn w:val="DefaultParagraphFont"/>
    <w:link w:val="CommentText"/>
    <w:uiPriority w:val="99"/>
    <w:rsid w:val="002E6274"/>
    <w:rPr>
      <w:sz w:val="20"/>
      <w:szCs w:val="20"/>
    </w:rPr>
  </w:style>
  <w:style w:type="paragraph" w:styleId="CommentSubject">
    <w:name w:val="annotation subject"/>
    <w:basedOn w:val="CommentText"/>
    <w:next w:val="CommentText"/>
    <w:link w:val="CommentSubjectChar"/>
    <w:uiPriority w:val="99"/>
    <w:semiHidden/>
    <w:unhideWhenUsed/>
    <w:rsid w:val="002E6274"/>
    <w:rPr>
      <w:b/>
      <w:bCs/>
    </w:rPr>
  </w:style>
  <w:style w:type="character" w:customStyle="1" w:styleId="CommentSubjectChar">
    <w:name w:val="Comment Subject Char"/>
    <w:basedOn w:val="CommentTextChar"/>
    <w:link w:val="CommentSubject"/>
    <w:uiPriority w:val="99"/>
    <w:semiHidden/>
    <w:rsid w:val="002E6274"/>
    <w:rPr>
      <w:b/>
      <w:bCs/>
      <w:sz w:val="20"/>
      <w:szCs w:val="20"/>
    </w:rPr>
  </w:style>
  <w:style w:type="table" w:styleId="LightList">
    <w:name w:val="Light List"/>
    <w:basedOn w:val="TableNormal"/>
    <w:uiPriority w:val="61"/>
    <w:rsid w:val="00314D5E"/>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1">
    <w:name w:val="Light Shading Accent 1"/>
    <w:basedOn w:val="TableNormal"/>
    <w:uiPriority w:val="60"/>
    <w:rsid w:val="00314D5E"/>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Emphasis">
    <w:name w:val="Emphasis"/>
    <w:basedOn w:val="DefaultParagraphFont"/>
    <w:uiPriority w:val="20"/>
    <w:qFormat/>
    <w:rsid w:val="00951BE6"/>
    <w:rPr>
      <w:i/>
      <w:iCs/>
    </w:rPr>
  </w:style>
  <w:style w:type="character" w:customStyle="1" w:styleId="CaptionChar">
    <w:name w:val="Caption Char"/>
    <w:aliases w:val="B 1 Char,Beskrivning Char1 Char,Picture Char1 Char,Beskrivning Char Char Char,Beskrivning Char1 Char Char Char,Picture Char1 Char Char Char,Beskrivning Char Char Char Char Char,Picture Char Char Char Char Char,Picture Char Char Char"/>
    <w:basedOn w:val="DefaultParagraphFont"/>
    <w:link w:val="Caption"/>
    <w:uiPriority w:val="35"/>
    <w:rsid w:val="00A61450"/>
    <w:rPr>
      <w:rFonts w:ascii="Calibri" w:eastAsia="MS Mincho" w:hAnsi="Calibri" w:cs="Arial"/>
      <w:b/>
      <w:bCs/>
      <w:color w:val="4F81BD" w:themeColor="accent1"/>
      <w:szCs w:val="18"/>
    </w:rPr>
  </w:style>
  <w:style w:type="character" w:customStyle="1" w:styleId="ListParagraphChar">
    <w:name w:val="List Paragraph Char"/>
    <w:aliases w:val="Numbered Para 1 Char,Dot pt Char,No Spacing1 Char,List Paragraph Char Char Char Char,Indicator Text Char,List Paragraph1 Char,Bullet Points Char,Bullet 1 Char,MAIN CONTENT Char,List Paragraph12 Char,F5 List Paragraph Char"/>
    <w:link w:val="ListParagraph"/>
    <w:uiPriority w:val="34"/>
    <w:qFormat/>
    <w:locked/>
    <w:rsid w:val="00823539"/>
  </w:style>
  <w:style w:type="character" w:styleId="SubtleEmphasis">
    <w:name w:val="Subtle Emphasis"/>
    <w:basedOn w:val="DefaultParagraphFont"/>
    <w:uiPriority w:val="19"/>
    <w:qFormat/>
    <w:rsid w:val="00823539"/>
    <w:rPr>
      <w:i/>
      <w:iCs/>
      <w:color w:val="808080" w:themeColor="text1" w:themeTint="7F"/>
    </w:rPr>
  </w:style>
  <w:style w:type="character" w:customStyle="1" w:styleId="Heading4Char">
    <w:name w:val="Heading 4 Char"/>
    <w:basedOn w:val="DefaultParagraphFont"/>
    <w:link w:val="Heading4"/>
    <w:uiPriority w:val="9"/>
    <w:semiHidden/>
    <w:rsid w:val="00823539"/>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823539"/>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823539"/>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23539"/>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23539"/>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823539"/>
    <w:rPr>
      <w:rFonts w:asciiTheme="majorHAnsi" w:eastAsiaTheme="majorEastAsia" w:hAnsiTheme="majorHAnsi" w:cstheme="majorBidi"/>
      <w:i/>
      <w:iCs/>
      <w:color w:val="404040" w:themeColor="text1" w:themeTint="BF"/>
      <w:sz w:val="20"/>
      <w:szCs w:val="20"/>
    </w:rPr>
  </w:style>
  <w:style w:type="paragraph" w:customStyle="1" w:styleId="BodyText0">
    <w:name w:val="BodyText"/>
    <w:basedOn w:val="Normal"/>
    <w:link w:val="BodyTextChar0"/>
    <w:qFormat/>
    <w:rsid w:val="00823539"/>
  </w:style>
  <w:style w:type="paragraph" w:customStyle="1" w:styleId="NumberedPara">
    <w:name w:val="Numbered Para"/>
    <w:basedOn w:val="Normal"/>
    <w:link w:val="NumberedParaChar"/>
    <w:qFormat/>
    <w:rsid w:val="003809E4"/>
    <w:pPr>
      <w:ind w:left="426" w:hanging="426"/>
    </w:pPr>
  </w:style>
  <w:style w:type="character" w:customStyle="1" w:styleId="BodyTextChar0">
    <w:name w:val="BodyText Char"/>
    <w:basedOn w:val="DefaultParagraphFont"/>
    <w:link w:val="BodyText0"/>
    <w:rsid w:val="00823539"/>
  </w:style>
  <w:style w:type="character" w:customStyle="1" w:styleId="NumberedParaChar">
    <w:name w:val="Numbered Para Char"/>
    <w:basedOn w:val="DefaultParagraphFont"/>
    <w:link w:val="NumberedPara"/>
    <w:rsid w:val="003809E4"/>
  </w:style>
  <w:style w:type="paragraph" w:styleId="Revision">
    <w:name w:val="Revision"/>
    <w:hidden/>
    <w:uiPriority w:val="99"/>
    <w:semiHidden/>
    <w:rsid w:val="00D65E30"/>
    <w:pPr>
      <w:spacing w:after="0" w:line="240" w:lineRule="auto"/>
    </w:pPr>
  </w:style>
  <w:style w:type="character" w:customStyle="1" w:styleId="apple-converted-space">
    <w:name w:val="apple-converted-space"/>
    <w:basedOn w:val="DefaultParagraphFont"/>
    <w:rsid w:val="00E55FB9"/>
  </w:style>
  <w:style w:type="paragraph" w:customStyle="1" w:styleId="PECtext">
    <w:name w:val="PEC text"/>
    <w:aliases w:val="Block"/>
    <w:link w:val="PECtextChar"/>
    <w:qFormat/>
    <w:rsid w:val="00684ADC"/>
    <w:pPr>
      <w:jc w:val="both"/>
    </w:pPr>
    <w:rPr>
      <w:rFonts w:eastAsia="Times New Roman" w:cs="Times New Roman"/>
      <w:color w:val="000000"/>
    </w:rPr>
  </w:style>
  <w:style w:type="character" w:customStyle="1" w:styleId="PECtextChar">
    <w:name w:val="PEC text Char"/>
    <w:basedOn w:val="DefaultParagraphFont"/>
    <w:link w:val="PECtext"/>
    <w:rsid w:val="00684ADC"/>
    <w:rPr>
      <w:rFonts w:eastAsia="Times New Roman" w:cs="Times New Roman"/>
      <w:color w:val="000000"/>
    </w:rPr>
  </w:style>
  <w:style w:type="paragraph" w:customStyle="1" w:styleId="PECListbullet">
    <w:name w:val="PEC List bullet"/>
    <w:link w:val="PECListbulletChar"/>
    <w:autoRedefine/>
    <w:qFormat/>
    <w:rsid w:val="009B430C"/>
    <w:pPr>
      <w:tabs>
        <w:tab w:val="left" w:pos="851"/>
        <w:tab w:val="left" w:pos="1276"/>
      </w:tabs>
      <w:spacing w:before="120" w:after="0" w:line="240" w:lineRule="auto"/>
    </w:pPr>
    <w:rPr>
      <w:rFonts w:ascii="Arial" w:eastAsia="Times New Roman" w:hAnsi="Arial" w:cs="Times New Roman"/>
      <w:color w:val="000000"/>
    </w:rPr>
  </w:style>
  <w:style w:type="character" w:customStyle="1" w:styleId="PECListbulletChar">
    <w:name w:val="PEC List bullet Char"/>
    <w:basedOn w:val="DefaultParagraphFont"/>
    <w:link w:val="PECListbullet"/>
    <w:locked/>
    <w:rsid w:val="009B430C"/>
    <w:rPr>
      <w:rFonts w:ascii="Arial" w:eastAsia="Times New Roman" w:hAnsi="Arial" w:cs="Times New Roman"/>
      <w:color w:val="000000"/>
    </w:rPr>
  </w:style>
  <w:style w:type="paragraph" w:customStyle="1" w:styleId="PECTableorFigureCommentText">
    <w:name w:val="PEC Table or Figure Comment Text"/>
    <w:next w:val="PECtext"/>
    <w:link w:val="PECTableorFigureCommentTextChar"/>
    <w:qFormat/>
    <w:rsid w:val="009B430C"/>
    <w:pPr>
      <w:pBdr>
        <w:bottom w:val="single" w:sz="8" w:space="6" w:color="003399"/>
      </w:pBdr>
      <w:spacing w:after="240" w:line="240" w:lineRule="auto"/>
    </w:pPr>
    <w:rPr>
      <w:rFonts w:ascii="Arial" w:eastAsia="Times New Roman" w:hAnsi="Arial" w:cs="Times New Roman"/>
      <w:sz w:val="16"/>
      <w:szCs w:val="20"/>
    </w:rPr>
  </w:style>
  <w:style w:type="paragraph" w:customStyle="1" w:styleId="PECList2Bullet">
    <w:name w:val="PEC List2 Bullet"/>
    <w:basedOn w:val="PECListbullet"/>
    <w:qFormat/>
    <w:rsid w:val="009B430C"/>
    <w:pPr>
      <w:numPr>
        <w:ilvl w:val="1"/>
        <w:numId w:val="1"/>
      </w:numPr>
      <w:tabs>
        <w:tab w:val="clear" w:pos="851"/>
        <w:tab w:val="num" w:pos="1080"/>
      </w:tabs>
      <w:spacing w:before="60"/>
      <w:ind w:left="1080" w:hanging="360"/>
    </w:pPr>
  </w:style>
  <w:style w:type="paragraph" w:customStyle="1" w:styleId="PECList3Bullet">
    <w:name w:val="PEC List3 Bullet"/>
    <w:basedOn w:val="PECList2Bullet"/>
    <w:qFormat/>
    <w:rsid w:val="009B430C"/>
    <w:pPr>
      <w:numPr>
        <w:ilvl w:val="2"/>
      </w:numPr>
      <w:tabs>
        <w:tab w:val="clear" w:pos="1276"/>
        <w:tab w:val="num" w:pos="1800"/>
      </w:tabs>
      <w:spacing w:before="30"/>
      <w:ind w:left="1800" w:hanging="360"/>
    </w:pPr>
  </w:style>
  <w:style w:type="character" w:customStyle="1" w:styleId="PECTableorFigureCommentTextChar">
    <w:name w:val="PEC Table or Figure Comment Text Char"/>
    <w:link w:val="PECTableorFigureCommentText"/>
    <w:locked/>
    <w:rsid w:val="009B430C"/>
    <w:rPr>
      <w:rFonts w:ascii="Arial" w:eastAsia="Times New Roman" w:hAnsi="Arial" w:cs="Times New Roman"/>
      <w:sz w:val="16"/>
      <w:szCs w:val="20"/>
    </w:rPr>
  </w:style>
  <w:style w:type="paragraph" w:customStyle="1" w:styleId="PECFootnoteTxt">
    <w:name w:val="PEC Footnote Txt"/>
    <w:basedOn w:val="List"/>
    <w:link w:val="PECFootnoteTxtChar"/>
    <w:qFormat/>
    <w:rsid w:val="00C3750A"/>
    <w:pPr>
      <w:tabs>
        <w:tab w:val="left" w:pos="567"/>
      </w:tabs>
      <w:spacing w:before="60" w:after="0" w:line="240" w:lineRule="auto"/>
      <w:ind w:left="567" w:hanging="567"/>
      <w:contextualSpacing w:val="0"/>
      <w:jc w:val="left"/>
    </w:pPr>
    <w:rPr>
      <w:rFonts w:ascii="Arial" w:eastAsia="Times New Roman" w:hAnsi="Arial" w:cs="Times New Roman"/>
      <w:color w:val="000000"/>
      <w:sz w:val="20"/>
    </w:rPr>
  </w:style>
  <w:style w:type="character" w:customStyle="1" w:styleId="PECFootnoteTxtChar">
    <w:name w:val="PEC Footnote Txt Char"/>
    <w:link w:val="PECFootnoteTxt"/>
    <w:locked/>
    <w:rsid w:val="00C3750A"/>
    <w:rPr>
      <w:rFonts w:ascii="Arial" w:eastAsia="Times New Roman" w:hAnsi="Arial" w:cs="Times New Roman"/>
      <w:color w:val="000000"/>
      <w:sz w:val="20"/>
    </w:rPr>
  </w:style>
  <w:style w:type="paragraph" w:styleId="List">
    <w:name w:val="List"/>
    <w:basedOn w:val="Normal"/>
    <w:uiPriority w:val="99"/>
    <w:semiHidden/>
    <w:unhideWhenUsed/>
    <w:rsid w:val="00C3750A"/>
    <w:pPr>
      <w:ind w:left="283" w:hanging="283"/>
      <w:contextualSpacing/>
    </w:pPr>
  </w:style>
  <w:style w:type="paragraph" w:customStyle="1" w:styleId="Bodytext1">
    <w:name w:val="Bodytext"/>
    <w:basedOn w:val="Normal"/>
    <w:qFormat/>
    <w:rsid w:val="001D2ACE"/>
    <w:pPr>
      <w:spacing w:after="120"/>
    </w:pPr>
    <w:rPr>
      <w:rFonts w:eastAsia="Calibri" w:cs="Times New Roman"/>
      <w:lang w:eastAsia="en-GB"/>
    </w:rPr>
  </w:style>
  <w:style w:type="paragraph" w:customStyle="1" w:styleId="Picture">
    <w:name w:val="Picture"/>
    <w:basedOn w:val="Normal"/>
    <w:link w:val="PictureChar"/>
    <w:qFormat/>
    <w:rsid w:val="00A87104"/>
    <w:pPr>
      <w:tabs>
        <w:tab w:val="left" w:pos="-1020"/>
        <w:tab w:val="left" w:pos="-300"/>
      </w:tabs>
      <w:spacing w:after="0"/>
    </w:pPr>
    <w:rPr>
      <w:noProof/>
    </w:rPr>
  </w:style>
  <w:style w:type="character" w:customStyle="1" w:styleId="PictureChar">
    <w:name w:val="Picture Char"/>
    <w:basedOn w:val="DefaultParagraphFont"/>
    <w:link w:val="Picture"/>
    <w:rsid w:val="00A87104"/>
    <w:rPr>
      <w:noProof/>
    </w:rPr>
  </w:style>
  <w:style w:type="table" w:customStyle="1" w:styleId="Azul2">
    <w:name w:val="Azul 2"/>
    <w:basedOn w:val="TableNormal"/>
    <w:uiPriority w:val="99"/>
    <w:rsid w:val="00B536B1"/>
    <w:pPr>
      <w:spacing w:after="0" w:line="240" w:lineRule="auto"/>
    </w:pPr>
    <w:rPr>
      <w:rFonts w:eastAsia="Times New Roman" w:cs="Times New Roman"/>
      <w:sz w:val="20"/>
      <w:szCs w:val="20"/>
      <w:lang w:val="es-ES"/>
    </w:rPr>
    <w:tblPr>
      <w:tblBorders>
        <w:top w:val="single" w:sz="12" w:space="0" w:color="666699"/>
        <w:left w:val="single" w:sz="12" w:space="0" w:color="666699"/>
        <w:bottom w:val="single" w:sz="12" w:space="0" w:color="666699"/>
        <w:right w:val="single" w:sz="12" w:space="0" w:color="666699"/>
        <w:insideH w:val="single" w:sz="6" w:space="0" w:color="666699"/>
        <w:insideV w:val="single" w:sz="6" w:space="0" w:color="666699"/>
      </w:tblBorders>
    </w:tblPr>
  </w:style>
  <w:style w:type="paragraph" w:customStyle="1" w:styleId="ReferenceTitle">
    <w:name w:val="Reference Title"/>
    <w:basedOn w:val="Normal"/>
    <w:autoRedefine/>
    <w:qFormat/>
    <w:rsid w:val="000E29C3"/>
    <w:pPr>
      <w:numPr>
        <w:numId w:val="3"/>
      </w:numPr>
      <w:tabs>
        <w:tab w:val="left" w:pos="646"/>
      </w:tabs>
      <w:spacing w:after="0" w:line="312" w:lineRule="auto"/>
      <w:jc w:val="left"/>
    </w:pPr>
    <w:rPr>
      <w:rFonts w:eastAsiaTheme="majorEastAsia" w:cs="Times New Roman"/>
      <w:sz w:val="24"/>
      <w:szCs w:val="24"/>
      <w:lang w:eastAsia="es-ES_tradnl"/>
    </w:rPr>
  </w:style>
  <w:style w:type="paragraph" w:customStyle="1" w:styleId="BulletPoint1">
    <w:name w:val="BulletPoint1"/>
    <w:basedOn w:val="ListParagraph"/>
    <w:link w:val="BulletPoint1Char"/>
    <w:qFormat/>
    <w:rsid w:val="00B701A3"/>
    <w:pPr>
      <w:numPr>
        <w:numId w:val="2"/>
      </w:numPr>
    </w:pPr>
    <w:rPr>
      <w:rFonts w:cs="Calibri"/>
    </w:rPr>
  </w:style>
  <w:style w:type="character" w:customStyle="1" w:styleId="BulletPoint1Char">
    <w:name w:val="BulletPoint1 Char"/>
    <w:basedOn w:val="ListParagraphChar"/>
    <w:link w:val="BulletPoint1"/>
    <w:rsid w:val="00B701A3"/>
    <w:rPr>
      <w:rFonts w:cs="Calibri"/>
    </w:rPr>
  </w:style>
  <w:style w:type="character" w:customStyle="1" w:styleId="UnresolvedMention1">
    <w:name w:val="Unresolved Mention1"/>
    <w:basedOn w:val="DefaultParagraphFont"/>
    <w:uiPriority w:val="99"/>
    <w:semiHidden/>
    <w:unhideWhenUsed/>
    <w:rsid w:val="00262E6C"/>
    <w:rPr>
      <w:color w:val="808080"/>
      <w:shd w:val="clear" w:color="auto" w:fill="E6E6E6"/>
    </w:rPr>
  </w:style>
  <w:style w:type="character" w:customStyle="1" w:styleId="ilfuvd">
    <w:name w:val="ilfuvd"/>
    <w:basedOn w:val="DefaultParagraphFont"/>
    <w:rsid w:val="003C6697"/>
  </w:style>
  <w:style w:type="character" w:styleId="FollowedHyperlink">
    <w:name w:val="FollowedHyperlink"/>
    <w:basedOn w:val="DefaultParagraphFont"/>
    <w:uiPriority w:val="99"/>
    <w:semiHidden/>
    <w:unhideWhenUsed/>
    <w:rsid w:val="00FC586E"/>
    <w:rPr>
      <w:color w:val="800080" w:themeColor="followedHyperlink"/>
      <w:u w:val="single"/>
    </w:rPr>
  </w:style>
  <w:style w:type="paragraph" w:customStyle="1" w:styleId="Reference">
    <w:name w:val="Reference"/>
    <w:basedOn w:val="Normal"/>
    <w:autoRedefine/>
    <w:uiPriority w:val="99"/>
    <w:qFormat/>
    <w:rsid w:val="006E0459"/>
    <w:pPr>
      <w:spacing w:after="0" w:line="240" w:lineRule="auto"/>
    </w:pPr>
    <w:rPr>
      <w:rFonts w:cs="Times New Roman"/>
    </w:rPr>
  </w:style>
  <w:style w:type="paragraph" w:styleId="ListBullet2">
    <w:name w:val="List Bullet 2"/>
    <w:basedOn w:val="Normal"/>
    <w:autoRedefine/>
    <w:uiPriority w:val="99"/>
    <w:semiHidden/>
    <w:unhideWhenUsed/>
    <w:rsid w:val="002953C8"/>
    <w:pPr>
      <w:numPr>
        <w:numId w:val="5"/>
      </w:numPr>
      <w:tabs>
        <w:tab w:val="clear" w:pos="643"/>
      </w:tabs>
      <w:spacing w:after="120" w:line="312" w:lineRule="auto"/>
      <w:ind w:left="641" w:hanging="357"/>
      <w:contextualSpacing/>
    </w:pPr>
    <w:rPr>
      <w:rFonts w:ascii="Arial" w:eastAsia="Times New Roman" w:hAnsi="Arial" w:cs="Times New Roman"/>
      <w:szCs w:val="20"/>
    </w:rPr>
  </w:style>
  <w:style w:type="character" w:customStyle="1" w:styleId="FigureChar">
    <w:name w:val="Figure Char"/>
    <w:basedOn w:val="DefaultParagraphFont"/>
    <w:link w:val="Figure"/>
    <w:locked/>
    <w:rsid w:val="002953C8"/>
    <w:rPr>
      <w:rFonts w:ascii="Times New Roman" w:eastAsia="Times New Roman" w:hAnsi="Times New Roman" w:cs="Times New Roman"/>
      <w:szCs w:val="20"/>
    </w:rPr>
  </w:style>
  <w:style w:type="paragraph" w:customStyle="1" w:styleId="Figure">
    <w:name w:val="Figure"/>
    <w:basedOn w:val="Normal"/>
    <w:next w:val="Normal"/>
    <w:link w:val="FigureChar"/>
    <w:autoRedefine/>
    <w:qFormat/>
    <w:rsid w:val="002953C8"/>
    <w:pPr>
      <w:keepNext/>
      <w:spacing w:before="120" w:after="120" w:line="240" w:lineRule="auto"/>
      <w:jc w:val="center"/>
    </w:pPr>
    <w:rPr>
      <w:rFonts w:ascii="Times New Roman" w:eastAsia="Times New Roman" w:hAnsi="Times New Roman" w:cs="Times New Roman"/>
      <w:szCs w:val="20"/>
    </w:rPr>
  </w:style>
  <w:style w:type="character" w:customStyle="1" w:styleId="UnresolvedMention2">
    <w:name w:val="Unresolved Mention2"/>
    <w:basedOn w:val="DefaultParagraphFont"/>
    <w:uiPriority w:val="99"/>
    <w:semiHidden/>
    <w:unhideWhenUsed/>
    <w:rsid w:val="00A9574A"/>
    <w:rPr>
      <w:color w:val="605E5C"/>
      <w:shd w:val="clear" w:color="auto" w:fill="E1DFDD"/>
    </w:rPr>
  </w:style>
  <w:style w:type="table" w:customStyle="1" w:styleId="PlainTable21">
    <w:name w:val="Plain Table 21"/>
    <w:basedOn w:val="TableNormal"/>
    <w:uiPriority w:val="42"/>
    <w:rsid w:val="008E3CE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ormal0">
    <w:name w:val="[Normal]"/>
    <w:rsid w:val="008E3CE6"/>
    <w:pPr>
      <w:widowControl w:val="0"/>
      <w:autoSpaceDE w:val="0"/>
      <w:autoSpaceDN w:val="0"/>
      <w:adjustRightInd w:val="0"/>
      <w:spacing w:after="0" w:line="240" w:lineRule="auto"/>
    </w:pPr>
    <w:rPr>
      <w:rFonts w:ascii="Arial" w:hAnsi="Arial" w:cs="Arial"/>
      <w:sz w:val="24"/>
      <w:szCs w:val="24"/>
    </w:rPr>
  </w:style>
  <w:style w:type="character" w:styleId="IntenseReference">
    <w:name w:val="Intense Reference"/>
    <w:basedOn w:val="DefaultParagraphFont"/>
    <w:uiPriority w:val="32"/>
    <w:qFormat/>
    <w:rsid w:val="00AA4AC0"/>
    <w:rPr>
      <w:b/>
      <w:bCs/>
      <w:smallCaps/>
      <w:color w:val="4F81BD" w:themeColor="accent1"/>
      <w:spacing w:val="5"/>
    </w:rPr>
  </w:style>
  <w:style w:type="paragraph" w:customStyle="1" w:styleId="Bulletpoint2">
    <w:name w:val="Bullet point 2"/>
    <w:basedOn w:val="ListParagraph"/>
    <w:qFormat/>
    <w:rsid w:val="00CF710D"/>
    <w:pPr>
      <w:widowControl w:val="0"/>
      <w:spacing w:after="0"/>
      <w:ind w:left="567" w:hanging="283"/>
      <w:contextualSpacing w:val="0"/>
    </w:pPr>
    <w:rPr>
      <w:sz w:val="23"/>
      <w:szCs w:val="23"/>
    </w:rPr>
  </w:style>
  <w:style w:type="paragraph" w:styleId="ListBullet">
    <w:name w:val="List Bullet"/>
    <w:basedOn w:val="Normal"/>
    <w:uiPriority w:val="99"/>
    <w:unhideWhenUsed/>
    <w:rsid w:val="00A71587"/>
    <w:pPr>
      <w:numPr>
        <w:numId w:val="7"/>
      </w:numPr>
      <w:contextualSpacing/>
    </w:pPr>
  </w:style>
  <w:style w:type="character" w:styleId="EndnoteReference">
    <w:name w:val="endnote reference"/>
    <w:basedOn w:val="DefaultParagraphFont"/>
    <w:uiPriority w:val="99"/>
    <w:semiHidden/>
    <w:unhideWhenUsed/>
    <w:rsid w:val="00F8608D"/>
    <w:rPr>
      <w:vertAlign w:val="superscript"/>
    </w:rPr>
  </w:style>
  <w:style w:type="paragraph" w:customStyle="1" w:styleId="Appendix1">
    <w:name w:val="Appendix 1"/>
    <w:basedOn w:val="Heading1"/>
    <w:link w:val="Appendix1Char"/>
    <w:qFormat/>
    <w:rsid w:val="001913F6"/>
  </w:style>
  <w:style w:type="table" w:styleId="PlainTable2">
    <w:name w:val="Plain Table 2"/>
    <w:basedOn w:val="TableNormal"/>
    <w:uiPriority w:val="99"/>
    <w:rsid w:val="002821D0"/>
    <w:pPr>
      <w:spacing w:after="0" w:line="240" w:lineRule="auto"/>
    </w:pPr>
    <w:tblPr>
      <w:tblStyleRowBandSize w:val="1"/>
      <w:tblStyleColBandSize w:val="1"/>
      <w:tblInd w:w="0" w:type="nil"/>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ppendix1Char">
    <w:name w:val="Appendix 1 Char"/>
    <w:basedOn w:val="Heading1Char"/>
    <w:link w:val="Appendix1"/>
    <w:rsid w:val="001913F6"/>
    <w:rPr>
      <w:rFonts w:asciiTheme="majorHAnsi" w:eastAsiaTheme="majorEastAsia" w:hAnsiTheme="majorHAnsi" w:cstheme="majorBidi"/>
      <w:b/>
      <w:bCs/>
      <w:color w:val="365F91" w:themeColor="accent1" w:themeShade="BF"/>
      <w:sz w:val="52"/>
      <w:szCs w:val="52"/>
      <w:lang w:val="en-US"/>
    </w:rPr>
  </w:style>
  <w:style w:type="character" w:customStyle="1" w:styleId="UnresolvedMention3">
    <w:name w:val="Unresolved Mention3"/>
    <w:basedOn w:val="DefaultParagraphFont"/>
    <w:uiPriority w:val="99"/>
    <w:semiHidden/>
    <w:unhideWhenUsed/>
    <w:rsid w:val="00296E20"/>
    <w:rPr>
      <w:color w:val="605E5C"/>
      <w:shd w:val="clear" w:color="auto" w:fill="E1DFDD"/>
    </w:rPr>
  </w:style>
  <w:style w:type="character" w:styleId="UnresolvedMention">
    <w:name w:val="Unresolved Mention"/>
    <w:basedOn w:val="DefaultParagraphFont"/>
    <w:uiPriority w:val="99"/>
    <w:unhideWhenUsed/>
    <w:rsid w:val="00D37E9F"/>
    <w:rPr>
      <w:color w:val="605E5C"/>
      <w:shd w:val="clear" w:color="auto" w:fill="E1DFDD"/>
    </w:rPr>
  </w:style>
  <w:style w:type="character" w:styleId="Mention">
    <w:name w:val="Mention"/>
    <w:basedOn w:val="DefaultParagraphFont"/>
    <w:uiPriority w:val="99"/>
    <w:unhideWhenUsed/>
    <w:rsid w:val="00D37E9F"/>
    <w:rPr>
      <w:color w:val="2B579A"/>
      <w:shd w:val="clear" w:color="auto" w:fill="E1DFDD"/>
    </w:rPr>
  </w:style>
  <w:style w:type="table" w:styleId="GridTable2-Accent3">
    <w:name w:val="Grid Table 2 Accent 3"/>
    <w:basedOn w:val="TableNormal"/>
    <w:uiPriority w:val="47"/>
    <w:rsid w:val="004C18F3"/>
    <w:pPr>
      <w:spacing w:after="0" w:line="240" w:lineRule="auto"/>
    </w:pPr>
    <w:rPr>
      <w:lang w:val="fr-CA" w:eastAsia="fr-CA"/>
    </w:r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UnresolvedMention4">
    <w:name w:val="Unresolved Mention4"/>
    <w:basedOn w:val="DefaultParagraphFont"/>
    <w:uiPriority w:val="99"/>
    <w:unhideWhenUsed/>
    <w:rsid w:val="005323AD"/>
    <w:rPr>
      <w:color w:val="605E5C"/>
      <w:shd w:val="clear" w:color="auto" w:fill="E1DFDD"/>
    </w:rPr>
  </w:style>
  <w:style w:type="character" w:customStyle="1" w:styleId="Mention1">
    <w:name w:val="Mention1"/>
    <w:basedOn w:val="DefaultParagraphFont"/>
    <w:uiPriority w:val="99"/>
    <w:unhideWhenUsed/>
    <w:rsid w:val="005323A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66348">
      <w:bodyDiv w:val="1"/>
      <w:marLeft w:val="0"/>
      <w:marRight w:val="0"/>
      <w:marTop w:val="0"/>
      <w:marBottom w:val="0"/>
      <w:divBdr>
        <w:top w:val="none" w:sz="0" w:space="0" w:color="auto"/>
        <w:left w:val="none" w:sz="0" w:space="0" w:color="auto"/>
        <w:bottom w:val="none" w:sz="0" w:space="0" w:color="auto"/>
        <w:right w:val="none" w:sz="0" w:space="0" w:color="auto"/>
      </w:divBdr>
    </w:div>
    <w:div w:id="20863943">
      <w:bodyDiv w:val="1"/>
      <w:marLeft w:val="0"/>
      <w:marRight w:val="0"/>
      <w:marTop w:val="0"/>
      <w:marBottom w:val="0"/>
      <w:divBdr>
        <w:top w:val="none" w:sz="0" w:space="0" w:color="auto"/>
        <w:left w:val="none" w:sz="0" w:space="0" w:color="auto"/>
        <w:bottom w:val="none" w:sz="0" w:space="0" w:color="auto"/>
        <w:right w:val="none" w:sz="0" w:space="0" w:color="auto"/>
      </w:divBdr>
    </w:div>
    <w:div w:id="38094248">
      <w:bodyDiv w:val="1"/>
      <w:marLeft w:val="0"/>
      <w:marRight w:val="0"/>
      <w:marTop w:val="0"/>
      <w:marBottom w:val="0"/>
      <w:divBdr>
        <w:top w:val="none" w:sz="0" w:space="0" w:color="auto"/>
        <w:left w:val="none" w:sz="0" w:space="0" w:color="auto"/>
        <w:bottom w:val="none" w:sz="0" w:space="0" w:color="auto"/>
        <w:right w:val="none" w:sz="0" w:space="0" w:color="auto"/>
      </w:divBdr>
    </w:div>
    <w:div w:id="50233179">
      <w:bodyDiv w:val="1"/>
      <w:marLeft w:val="0"/>
      <w:marRight w:val="0"/>
      <w:marTop w:val="0"/>
      <w:marBottom w:val="0"/>
      <w:divBdr>
        <w:top w:val="none" w:sz="0" w:space="0" w:color="auto"/>
        <w:left w:val="none" w:sz="0" w:space="0" w:color="auto"/>
        <w:bottom w:val="none" w:sz="0" w:space="0" w:color="auto"/>
        <w:right w:val="none" w:sz="0" w:space="0" w:color="auto"/>
      </w:divBdr>
      <w:divsChild>
        <w:div w:id="224728627">
          <w:marLeft w:val="1166"/>
          <w:marRight w:val="0"/>
          <w:marTop w:val="96"/>
          <w:marBottom w:val="0"/>
          <w:divBdr>
            <w:top w:val="none" w:sz="0" w:space="0" w:color="auto"/>
            <w:left w:val="none" w:sz="0" w:space="0" w:color="auto"/>
            <w:bottom w:val="none" w:sz="0" w:space="0" w:color="auto"/>
            <w:right w:val="none" w:sz="0" w:space="0" w:color="auto"/>
          </w:divBdr>
        </w:div>
        <w:div w:id="1899511105">
          <w:marLeft w:val="1166"/>
          <w:marRight w:val="0"/>
          <w:marTop w:val="96"/>
          <w:marBottom w:val="0"/>
          <w:divBdr>
            <w:top w:val="none" w:sz="0" w:space="0" w:color="auto"/>
            <w:left w:val="none" w:sz="0" w:space="0" w:color="auto"/>
            <w:bottom w:val="none" w:sz="0" w:space="0" w:color="auto"/>
            <w:right w:val="none" w:sz="0" w:space="0" w:color="auto"/>
          </w:divBdr>
        </w:div>
      </w:divsChild>
    </w:div>
    <w:div w:id="62337845">
      <w:bodyDiv w:val="1"/>
      <w:marLeft w:val="0"/>
      <w:marRight w:val="0"/>
      <w:marTop w:val="0"/>
      <w:marBottom w:val="0"/>
      <w:divBdr>
        <w:top w:val="none" w:sz="0" w:space="0" w:color="auto"/>
        <w:left w:val="none" w:sz="0" w:space="0" w:color="auto"/>
        <w:bottom w:val="none" w:sz="0" w:space="0" w:color="auto"/>
        <w:right w:val="none" w:sz="0" w:space="0" w:color="auto"/>
      </w:divBdr>
    </w:div>
    <w:div w:id="75173092">
      <w:bodyDiv w:val="1"/>
      <w:marLeft w:val="0"/>
      <w:marRight w:val="0"/>
      <w:marTop w:val="0"/>
      <w:marBottom w:val="0"/>
      <w:divBdr>
        <w:top w:val="none" w:sz="0" w:space="0" w:color="auto"/>
        <w:left w:val="none" w:sz="0" w:space="0" w:color="auto"/>
        <w:bottom w:val="none" w:sz="0" w:space="0" w:color="auto"/>
        <w:right w:val="none" w:sz="0" w:space="0" w:color="auto"/>
      </w:divBdr>
    </w:div>
    <w:div w:id="99297949">
      <w:bodyDiv w:val="1"/>
      <w:marLeft w:val="0"/>
      <w:marRight w:val="0"/>
      <w:marTop w:val="0"/>
      <w:marBottom w:val="0"/>
      <w:divBdr>
        <w:top w:val="none" w:sz="0" w:space="0" w:color="auto"/>
        <w:left w:val="none" w:sz="0" w:space="0" w:color="auto"/>
        <w:bottom w:val="none" w:sz="0" w:space="0" w:color="auto"/>
        <w:right w:val="none" w:sz="0" w:space="0" w:color="auto"/>
      </w:divBdr>
    </w:div>
    <w:div w:id="109932256">
      <w:bodyDiv w:val="1"/>
      <w:marLeft w:val="0"/>
      <w:marRight w:val="0"/>
      <w:marTop w:val="0"/>
      <w:marBottom w:val="0"/>
      <w:divBdr>
        <w:top w:val="none" w:sz="0" w:space="0" w:color="auto"/>
        <w:left w:val="none" w:sz="0" w:space="0" w:color="auto"/>
        <w:bottom w:val="none" w:sz="0" w:space="0" w:color="auto"/>
        <w:right w:val="none" w:sz="0" w:space="0" w:color="auto"/>
      </w:divBdr>
      <w:divsChild>
        <w:div w:id="185557576">
          <w:marLeft w:val="1166"/>
          <w:marRight w:val="0"/>
          <w:marTop w:val="115"/>
          <w:marBottom w:val="0"/>
          <w:divBdr>
            <w:top w:val="none" w:sz="0" w:space="0" w:color="auto"/>
            <w:left w:val="none" w:sz="0" w:space="0" w:color="auto"/>
            <w:bottom w:val="none" w:sz="0" w:space="0" w:color="auto"/>
            <w:right w:val="none" w:sz="0" w:space="0" w:color="auto"/>
          </w:divBdr>
        </w:div>
        <w:div w:id="321589101">
          <w:marLeft w:val="547"/>
          <w:marRight w:val="0"/>
          <w:marTop w:val="130"/>
          <w:marBottom w:val="0"/>
          <w:divBdr>
            <w:top w:val="none" w:sz="0" w:space="0" w:color="auto"/>
            <w:left w:val="none" w:sz="0" w:space="0" w:color="auto"/>
            <w:bottom w:val="none" w:sz="0" w:space="0" w:color="auto"/>
            <w:right w:val="none" w:sz="0" w:space="0" w:color="auto"/>
          </w:divBdr>
        </w:div>
        <w:div w:id="853805279">
          <w:marLeft w:val="1166"/>
          <w:marRight w:val="0"/>
          <w:marTop w:val="115"/>
          <w:marBottom w:val="0"/>
          <w:divBdr>
            <w:top w:val="none" w:sz="0" w:space="0" w:color="auto"/>
            <w:left w:val="none" w:sz="0" w:space="0" w:color="auto"/>
            <w:bottom w:val="none" w:sz="0" w:space="0" w:color="auto"/>
            <w:right w:val="none" w:sz="0" w:space="0" w:color="auto"/>
          </w:divBdr>
        </w:div>
        <w:div w:id="1323462469">
          <w:marLeft w:val="1166"/>
          <w:marRight w:val="0"/>
          <w:marTop w:val="115"/>
          <w:marBottom w:val="0"/>
          <w:divBdr>
            <w:top w:val="none" w:sz="0" w:space="0" w:color="auto"/>
            <w:left w:val="none" w:sz="0" w:space="0" w:color="auto"/>
            <w:bottom w:val="none" w:sz="0" w:space="0" w:color="auto"/>
            <w:right w:val="none" w:sz="0" w:space="0" w:color="auto"/>
          </w:divBdr>
        </w:div>
        <w:div w:id="1407654499">
          <w:marLeft w:val="1166"/>
          <w:marRight w:val="0"/>
          <w:marTop w:val="115"/>
          <w:marBottom w:val="0"/>
          <w:divBdr>
            <w:top w:val="none" w:sz="0" w:space="0" w:color="auto"/>
            <w:left w:val="none" w:sz="0" w:space="0" w:color="auto"/>
            <w:bottom w:val="none" w:sz="0" w:space="0" w:color="auto"/>
            <w:right w:val="none" w:sz="0" w:space="0" w:color="auto"/>
          </w:divBdr>
        </w:div>
        <w:div w:id="1524510225">
          <w:marLeft w:val="1800"/>
          <w:marRight w:val="0"/>
          <w:marTop w:val="96"/>
          <w:marBottom w:val="0"/>
          <w:divBdr>
            <w:top w:val="none" w:sz="0" w:space="0" w:color="auto"/>
            <w:left w:val="none" w:sz="0" w:space="0" w:color="auto"/>
            <w:bottom w:val="none" w:sz="0" w:space="0" w:color="auto"/>
            <w:right w:val="none" w:sz="0" w:space="0" w:color="auto"/>
          </w:divBdr>
        </w:div>
        <w:div w:id="1756512404">
          <w:marLeft w:val="547"/>
          <w:marRight w:val="0"/>
          <w:marTop w:val="130"/>
          <w:marBottom w:val="0"/>
          <w:divBdr>
            <w:top w:val="none" w:sz="0" w:space="0" w:color="auto"/>
            <w:left w:val="none" w:sz="0" w:space="0" w:color="auto"/>
            <w:bottom w:val="none" w:sz="0" w:space="0" w:color="auto"/>
            <w:right w:val="none" w:sz="0" w:space="0" w:color="auto"/>
          </w:divBdr>
        </w:div>
        <w:div w:id="1761876939">
          <w:marLeft w:val="1166"/>
          <w:marRight w:val="0"/>
          <w:marTop w:val="115"/>
          <w:marBottom w:val="0"/>
          <w:divBdr>
            <w:top w:val="none" w:sz="0" w:space="0" w:color="auto"/>
            <w:left w:val="none" w:sz="0" w:space="0" w:color="auto"/>
            <w:bottom w:val="none" w:sz="0" w:space="0" w:color="auto"/>
            <w:right w:val="none" w:sz="0" w:space="0" w:color="auto"/>
          </w:divBdr>
        </w:div>
        <w:div w:id="2038777814">
          <w:marLeft w:val="1166"/>
          <w:marRight w:val="0"/>
          <w:marTop w:val="115"/>
          <w:marBottom w:val="0"/>
          <w:divBdr>
            <w:top w:val="none" w:sz="0" w:space="0" w:color="auto"/>
            <w:left w:val="none" w:sz="0" w:space="0" w:color="auto"/>
            <w:bottom w:val="none" w:sz="0" w:space="0" w:color="auto"/>
            <w:right w:val="none" w:sz="0" w:space="0" w:color="auto"/>
          </w:divBdr>
        </w:div>
      </w:divsChild>
    </w:div>
    <w:div w:id="135883145">
      <w:bodyDiv w:val="1"/>
      <w:marLeft w:val="0"/>
      <w:marRight w:val="0"/>
      <w:marTop w:val="0"/>
      <w:marBottom w:val="0"/>
      <w:divBdr>
        <w:top w:val="none" w:sz="0" w:space="0" w:color="auto"/>
        <w:left w:val="none" w:sz="0" w:space="0" w:color="auto"/>
        <w:bottom w:val="none" w:sz="0" w:space="0" w:color="auto"/>
        <w:right w:val="none" w:sz="0" w:space="0" w:color="auto"/>
      </w:divBdr>
    </w:div>
    <w:div w:id="163709411">
      <w:bodyDiv w:val="1"/>
      <w:marLeft w:val="0"/>
      <w:marRight w:val="0"/>
      <w:marTop w:val="0"/>
      <w:marBottom w:val="0"/>
      <w:divBdr>
        <w:top w:val="none" w:sz="0" w:space="0" w:color="auto"/>
        <w:left w:val="none" w:sz="0" w:space="0" w:color="auto"/>
        <w:bottom w:val="none" w:sz="0" w:space="0" w:color="auto"/>
        <w:right w:val="none" w:sz="0" w:space="0" w:color="auto"/>
      </w:divBdr>
      <w:divsChild>
        <w:div w:id="682559095">
          <w:marLeft w:val="1166"/>
          <w:marRight w:val="0"/>
          <w:marTop w:val="134"/>
          <w:marBottom w:val="0"/>
          <w:divBdr>
            <w:top w:val="none" w:sz="0" w:space="0" w:color="auto"/>
            <w:left w:val="none" w:sz="0" w:space="0" w:color="auto"/>
            <w:bottom w:val="none" w:sz="0" w:space="0" w:color="auto"/>
            <w:right w:val="none" w:sz="0" w:space="0" w:color="auto"/>
          </w:divBdr>
        </w:div>
        <w:div w:id="1271741484">
          <w:marLeft w:val="0"/>
          <w:marRight w:val="0"/>
          <w:marTop w:val="154"/>
          <w:marBottom w:val="0"/>
          <w:divBdr>
            <w:top w:val="none" w:sz="0" w:space="0" w:color="auto"/>
            <w:left w:val="none" w:sz="0" w:space="0" w:color="auto"/>
            <w:bottom w:val="none" w:sz="0" w:space="0" w:color="auto"/>
            <w:right w:val="none" w:sz="0" w:space="0" w:color="auto"/>
          </w:divBdr>
        </w:div>
        <w:div w:id="1303803964">
          <w:marLeft w:val="1166"/>
          <w:marRight w:val="0"/>
          <w:marTop w:val="134"/>
          <w:marBottom w:val="0"/>
          <w:divBdr>
            <w:top w:val="none" w:sz="0" w:space="0" w:color="auto"/>
            <w:left w:val="none" w:sz="0" w:space="0" w:color="auto"/>
            <w:bottom w:val="none" w:sz="0" w:space="0" w:color="auto"/>
            <w:right w:val="none" w:sz="0" w:space="0" w:color="auto"/>
          </w:divBdr>
        </w:div>
        <w:div w:id="1327978105">
          <w:marLeft w:val="1166"/>
          <w:marRight w:val="0"/>
          <w:marTop w:val="134"/>
          <w:marBottom w:val="0"/>
          <w:divBdr>
            <w:top w:val="none" w:sz="0" w:space="0" w:color="auto"/>
            <w:left w:val="none" w:sz="0" w:space="0" w:color="auto"/>
            <w:bottom w:val="none" w:sz="0" w:space="0" w:color="auto"/>
            <w:right w:val="none" w:sz="0" w:space="0" w:color="auto"/>
          </w:divBdr>
        </w:div>
        <w:div w:id="1577472967">
          <w:marLeft w:val="1166"/>
          <w:marRight w:val="0"/>
          <w:marTop w:val="134"/>
          <w:marBottom w:val="0"/>
          <w:divBdr>
            <w:top w:val="none" w:sz="0" w:space="0" w:color="auto"/>
            <w:left w:val="none" w:sz="0" w:space="0" w:color="auto"/>
            <w:bottom w:val="none" w:sz="0" w:space="0" w:color="auto"/>
            <w:right w:val="none" w:sz="0" w:space="0" w:color="auto"/>
          </w:divBdr>
        </w:div>
      </w:divsChild>
    </w:div>
    <w:div w:id="184834779">
      <w:bodyDiv w:val="1"/>
      <w:marLeft w:val="0"/>
      <w:marRight w:val="0"/>
      <w:marTop w:val="0"/>
      <w:marBottom w:val="0"/>
      <w:divBdr>
        <w:top w:val="none" w:sz="0" w:space="0" w:color="auto"/>
        <w:left w:val="none" w:sz="0" w:space="0" w:color="auto"/>
        <w:bottom w:val="none" w:sz="0" w:space="0" w:color="auto"/>
        <w:right w:val="none" w:sz="0" w:space="0" w:color="auto"/>
      </w:divBdr>
      <w:divsChild>
        <w:div w:id="469134073">
          <w:marLeft w:val="274"/>
          <w:marRight w:val="0"/>
          <w:marTop w:val="0"/>
          <w:marBottom w:val="200"/>
          <w:divBdr>
            <w:top w:val="none" w:sz="0" w:space="0" w:color="auto"/>
            <w:left w:val="none" w:sz="0" w:space="0" w:color="auto"/>
            <w:bottom w:val="none" w:sz="0" w:space="0" w:color="auto"/>
            <w:right w:val="none" w:sz="0" w:space="0" w:color="auto"/>
          </w:divBdr>
        </w:div>
        <w:div w:id="581723424">
          <w:marLeft w:val="274"/>
          <w:marRight w:val="0"/>
          <w:marTop w:val="0"/>
          <w:marBottom w:val="0"/>
          <w:divBdr>
            <w:top w:val="none" w:sz="0" w:space="0" w:color="auto"/>
            <w:left w:val="none" w:sz="0" w:space="0" w:color="auto"/>
            <w:bottom w:val="none" w:sz="0" w:space="0" w:color="auto"/>
            <w:right w:val="none" w:sz="0" w:space="0" w:color="auto"/>
          </w:divBdr>
        </w:div>
      </w:divsChild>
    </w:div>
    <w:div w:id="191378252">
      <w:bodyDiv w:val="1"/>
      <w:marLeft w:val="0"/>
      <w:marRight w:val="0"/>
      <w:marTop w:val="0"/>
      <w:marBottom w:val="0"/>
      <w:divBdr>
        <w:top w:val="none" w:sz="0" w:space="0" w:color="auto"/>
        <w:left w:val="none" w:sz="0" w:space="0" w:color="auto"/>
        <w:bottom w:val="none" w:sz="0" w:space="0" w:color="auto"/>
        <w:right w:val="none" w:sz="0" w:space="0" w:color="auto"/>
      </w:divBdr>
    </w:div>
    <w:div w:id="205220405">
      <w:bodyDiv w:val="1"/>
      <w:marLeft w:val="0"/>
      <w:marRight w:val="0"/>
      <w:marTop w:val="0"/>
      <w:marBottom w:val="0"/>
      <w:divBdr>
        <w:top w:val="none" w:sz="0" w:space="0" w:color="auto"/>
        <w:left w:val="none" w:sz="0" w:space="0" w:color="auto"/>
        <w:bottom w:val="none" w:sz="0" w:space="0" w:color="auto"/>
        <w:right w:val="none" w:sz="0" w:space="0" w:color="auto"/>
      </w:divBdr>
      <w:divsChild>
        <w:div w:id="337125030">
          <w:marLeft w:val="907"/>
          <w:marRight w:val="0"/>
          <w:marTop w:val="96"/>
          <w:marBottom w:val="0"/>
          <w:divBdr>
            <w:top w:val="none" w:sz="0" w:space="0" w:color="auto"/>
            <w:left w:val="none" w:sz="0" w:space="0" w:color="auto"/>
            <w:bottom w:val="none" w:sz="0" w:space="0" w:color="auto"/>
            <w:right w:val="none" w:sz="0" w:space="0" w:color="auto"/>
          </w:divBdr>
        </w:div>
        <w:div w:id="962079667">
          <w:marLeft w:val="907"/>
          <w:marRight w:val="0"/>
          <w:marTop w:val="96"/>
          <w:marBottom w:val="0"/>
          <w:divBdr>
            <w:top w:val="none" w:sz="0" w:space="0" w:color="auto"/>
            <w:left w:val="none" w:sz="0" w:space="0" w:color="auto"/>
            <w:bottom w:val="none" w:sz="0" w:space="0" w:color="auto"/>
            <w:right w:val="none" w:sz="0" w:space="0" w:color="auto"/>
          </w:divBdr>
        </w:div>
        <w:div w:id="1320428377">
          <w:marLeft w:val="907"/>
          <w:marRight w:val="0"/>
          <w:marTop w:val="96"/>
          <w:marBottom w:val="0"/>
          <w:divBdr>
            <w:top w:val="none" w:sz="0" w:space="0" w:color="auto"/>
            <w:left w:val="none" w:sz="0" w:space="0" w:color="auto"/>
            <w:bottom w:val="none" w:sz="0" w:space="0" w:color="auto"/>
            <w:right w:val="none" w:sz="0" w:space="0" w:color="auto"/>
          </w:divBdr>
        </w:div>
        <w:div w:id="1356148685">
          <w:marLeft w:val="720"/>
          <w:marRight w:val="0"/>
          <w:marTop w:val="115"/>
          <w:marBottom w:val="0"/>
          <w:divBdr>
            <w:top w:val="none" w:sz="0" w:space="0" w:color="auto"/>
            <w:left w:val="none" w:sz="0" w:space="0" w:color="auto"/>
            <w:bottom w:val="none" w:sz="0" w:space="0" w:color="auto"/>
            <w:right w:val="none" w:sz="0" w:space="0" w:color="auto"/>
          </w:divBdr>
        </w:div>
        <w:div w:id="1378896792">
          <w:marLeft w:val="907"/>
          <w:marRight w:val="0"/>
          <w:marTop w:val="96"/>
          <w:marBottom w:val="0"/>
          <w:divBdr>
            <w:top w:val="none" w:sz="0" w:space="0" w:color="auto"/>
            <w:left w:val="none" w:sz="0" w:space="0" w:color="auto"/>
            <w:bottom w:val="none" w:sz="0" w:space="0" w:color="auto"/>
            <w:right w:val="none" w:sz="0" w:space="0" w:color="auto"/>
          </w:divBdr>
        </w:div>
        <w:div w:id="1382362656">
          <w:marLeft w:val="907"/>
          <w:marRight w:val="0"/>
          <w:marTop w:val="96"/>
          <w:marBottom w:val="0"/>
          <w:divBdr>
            <w:top w:val="none" w:sz="0" w:space="0" w:color="auto"/>
            <w:left w:val="none" w:sz="0" w:space="0" w:color="auto"/>
            <w:bottom w:val="none" w:sz="0" w:space="0" w:color="auto"/>
            <w:right w:val="none" w:sz="0" w:space="0" w:color="auto"/>
          </w:divBdr>
        </w:div>
        <w:div w:id="1635452496">
          <w:marLeft w:val="720"/>
          <w:marRight w:val="0"/>
          <w:marTop w:val="115"/>
          <w:marBottom w:val="0"/>
          <w:divBdr>
            <w:top w:val="none" w:sz="0" w:space="0" w:color="auto"/>
            <w:left w:val="none" w:sz="0" w:space="0" w:color="auto"/>
            <w:bottom w:val="none" w:sz="0" w:space="0" w:color="auto"/>
            <w:right w:val="none" w:sz="0" w:space="0" w:color="auto"/>
          </w:divBdr>
        </w:div>
        <w:div w:id="1751349451">
          <w:marLeft w:val="720"/>
          <w:marRight w:val="0"/>
          <w:marTop w:val="115"/>
          <w:marBottom w:val="0"/>
          <w:divBdr>
            <w:top w:val="none" w:sz="0" w:space="0" w:color="auto"/>
            <w:left w:val="none" w:sz="0" w:space="0" w:color="auto"/>
            <w:bottom w:val="none" w:sz="0" w:space="0" w:color="auto"/>
            <w:right w:val="none" w:sz="0" w:space="0" w:color="auto"/>
          </w:divBdr>
        </w:div>
        <w:div w:id="1846170987">
          <w:marLeft w:val="720"/>
          <w:marRight w:val="0"/>
          <w:marTop w:val="115"/>
          <w:marBottom w:val="0"/>
          <w:divBdr>
            <w:top w:val="none" w:sz="0" w:space="0" w:color="auto"/>
            <w:left w:val="none" w:sz="0" w:space="0" w:color="auto"/>
            <w:bottom w:val="none" w:sz="0" w:space="0" w:color="auto"/>
            <w:right w:val="none" w:sz="0" w:space="0" w:color="auto"/>
          </w:divBdr>
        </w:div>
      </w:divsChild>
    </w:div>
    <w:div w:id="219024750">
      <w:bodyDiv w:val="1"/>
      <w:marLeft w:val="0"/>
      <w:marRight w:val="0"/>
      <w:marTop w:val="0"/>
      <w:marBottom w:val="0"/>
      <w:divBdr>
        <w:top w:val="none" w:sz="0" w:space="0" w:color="auto"/>
        <w:left w:val="none" w:sz="0" w:space="0" w:color="auto"/>
        <w:bottom w:val="none" w:sz="0" w:space="0" w:color="auto"/>
        <w:right w:val="none" w:sz="0" w:space="0" w:color="auto"/>
      </w:divBdr>
      <w:divsChild>
        <w:div w:id="341664621">
          <w:marLeft w:val="1498"/>
          <w:marRight w:val="0"/>
          <w:marTop w:val="62"/>
          <w:marBottom w:val="0"/>
          <w:divBdr>
            <w:top w:val="none" w:sz="0" w:space="0" w:color="auto"/>
            <w:left w:val="none" w:sz="0" w:space="0" w:color="auto"/>
            <w:bottom w:val="none" w:sz="0" w:space="0" w:color="auto"/>
            <w:right w:val="none" w:sz="0" w:space="0" w:color="auto"/>
          </w:divBdr>
        </w:div>
        <w:div w:id="353726852">
          <w:marLeft w:val="907"/>
          <w:marRight w:val="0"/>
          <w:marTop w:val="72"/>
          <w:marBottom w:val="0"/>
          <w:divBdr>
            <w:top w:val="none" w:sz="0" w:space="0" w:color="auto"/>
            <w:left w:val="none" w:sz="0" w:space="0" w:color="auto"/>
            <w:bottom w:val="none" w:sz="0" w:space="0" w:color="auto"/>
            <w:right w:val="none" w:sz="0" w:space="0" w:color="auto"/>
          </w:divBdr>
        </w:div>
        <w:div w:id="399401946">
          <w:marLeft w:val="1498"/>
          <w:marRight w:val="0"/>
          <w:marTop w:val="62"/>
          <w:marBottom w:val="0"/>
          <w:divBdr>
            <w:top w:val="none" w:sz="0" w:space="0" w:color="auto"/>
            <w:left w:val="none" w:sz="0" w:space="0" w:color="auto"/>
            <w:bottom w:val="none" w:sz="0" w:space="0" w:color="auto"/>
            <w:right w:val="none" w:sz="0" w:space="0" w:color="auto"/>
          </w:divBdr>
        </w:div>
        <w:div w:id="458769010">
          <w:marLeft w:val="1498"/>
          <w:marRight w:val="0"/>
          <w:marTop w:val="62"/>
          <w:marBottom w:val="0"/>
          <w:divBdr>
            <w:top w:val="none" w:sz="0" w:space="0" w:color="auto"/>
            <w:left w:val="none" w:sz="0" w:space="0" w:color="auto"/>
            <w:bottom w:val="none" w:sz="0" w:space="0" w:color="auto"/>
            <w:right w:val="none" w:sz="0" w:space="0" w:color="auto"/>
          </w:divBdr>
        </w:div>
        <w:div w:id="647898736">
          <w:marLeft w:val="907"/>
          <w:marRight w:val="0"/>
          <w:marTop w:val="72"/>
          <w:marBottom w:val="0"/>
          <w:divBdr>
            <w:top w:val="none" w:sz="0" w:space="0" w:color="auto"/>
            <w:left w:val="none" w:sz="0" w:space="0" w:color="auto"/>
            <w:bottom w:val="none" w:sz="0" w:space="0" w:color="auto"/>
            <w:right w:val="none" w:sz="0" w:space="0" w:color="auto"/>
          </w:divBdr>
        </w:div>
        <w:div w:id="700478975">
          <w:marLeft w:val="1498"/>
          <w:marRight w:val="0"/>
          <w:marTop w:val="62"/>
          <w:marBottom w:val="0"/>
          <w:divBdr>
            <w:top w:val="none" w:sz="0" w:space="0" w:color="auto"/>
            <w:left w:val="none" w:sz="0" w:space="0" w:color="auto"/>
            <w:bottom w:val="none" w:sz="0" w:space="0" w:color="auto"/>
            <w:right w:val="none" w:sz="0" w:space="0" w:color="auto"/>
          </w:divBdr>
        </w:div>
        <w:div w:id="851799082">
          <w:marLeft w:val="720"/>
          <w:marRight w:val="0"/>
          <w:marTop w:val="91"/>
          <w:marBottom w:val="0"/>
          <w:divBdr>
            <w:top w:val="none" w:sz="0" w:space="0" w:color="auto"/>
            <w:left w:val="none" w:sz="0" w:space="0" w:color="auto"/>
            <w:bottom w:val="none" w:sz="0" w:space="0" w:color="auto"/>
            <w:right w:val="none" w:sz="0" w:space="0" w:color="auto"/>
          </w:divBdr>
        </w:div>
        <w:div w:id="922374907">
          <w:marLeft w:val="907"/>
          <w:marRight w:val="0"/>
          <w:marTop w:val="72"/>
          <w:marBottom w:val="0"/>
          <w:divBdr>
            <w:top w:val="none" w:sz="0" w:space="0" w:color="auto"/>
            <w:left w:val="none" w:sz="0" w:space="0" w:color="auto"/>
            <w:bottom w:val="none" w:sz="0" w:space="0" w:color="auto"/>
            <w:right w:val="none" w:sz="0" w:space="0" w:color="auto"/>
          </w:divBdr>
        </w:div>
        <w:div w:id="984579443">
          <w:marLeft w:val="907"/>
          <w:marRight w:val="0"/>
          <w:marTop w:val="72"/>
          <w:marBottom w:val="0"/>
          <w:divBdr>
            <w:top w:val="none" w:sz="0" w:space="0" w:color="auto"/>
            <w:left w:val="none" w:sz="0" w:space="0" w:color="auto"/>
            <w:bottom w:val="none" w:sz="0" w:space="0" w:color="auto"/>
            <w:right w:val="none" w:sz="0" w:space="0" w:color="auto"/>
          </w:divBdr>
        </w:div>
        <w:div w:id="997533102">
          <w:marLeft w:val="907"/>
          <w:marRight w:val="0"/>
          <w:marTop w:val="72"/>
          <w:marBottom w:val="0"/>
          <w:divBdr>
            <w:top w:val="none" w:sz="0" w:space="0" w:color="auto"/>
            <w:left w:val="none" w:sz="0" w:space="0" w:color="auto"/>
            <w:bottom w:val="none" w:sz="0" w:space="0" w:color="auto"/>
            <w:right w:val="none" w:sz="0" w:space="0" w:color="auto"/>
          </w:divBdr>
        </w:div>
        <w:div w:id="1157764003">
          <w:marLeft w:val="907"/>
          <w:marRight w:val="0"/>
          <w:marTop w:val="72"/>
          <w:marBottom w:val="0"/>
          <w:divBdr>
            <w:top w:val="none" w:sz="0" w:space="0" w:color="auto"/>
            <w:left w:val="none" w:sz="0" w:space="0" w:color="auto"/>
            <w:bottom w:val="none" w:sz="0" w:space="0" w:color="auto"/>
            <w:right w:val="none" w:sz="0" w:space="0" w:color="auto"/>
          </w:divBdr>
        </w:div>
        <w:div w:id="1229267673">
          <w:marLeft w:val="907"/>
          <w:marRight w:val="0"/>
          <w:marTop w:val="72"/>
          <w:marBottom w:val="0"/>
          <w:divBdr>
            <w:top w:val="none" w:sz="0" w:space="0" w:color="auto"/>
            <w:left w:val="none" w:sz="0" w:space="0" w:color="auto"/>
            <w:bottom w:val="none" w:sz="0" w:space="0" w:color="auto"/>
            <w:right w:val="none" w:sz="0" w:space="0" w:color="auto"/>
          </w:divBdr>
        </w:div>
        <w:div w:id="1393194169">
          <w:marLeft w:val="907"/>
          <w:marRight w:val="0"/>
          <w:marTop w:val="72"/>
          <w:marBottom w:val="0"/>
          <w:divBdr>
            <w:top w:val="none" w:sz="0" w:space="0" w:color="auto"/>
            <w:left w:val="none" w:sz="0" w:space="0" w:color="auto"/>
            <w:bottom w:val="none" w:sz="0" w:space="0" w:color="auto"/>
            <w:right w:val="none" w:sz="0" w:space="0" w:color="auto"/>
          </w:divBdr>
        </w:div>
        <w:div w:id="1624455601">
          <w:marLeft w:val="1498"/>
          <w:marRight w:val="0"/>
          <w:marTop w:val="62"/>
          <w:marBottom w:val="0"/>
          <w:divBdr>
            <w:top w:val="none" w:sz="0" w:space="0" w:color="auto"/>
            <w:left w:val="none" w:sz="0" w:space="0" w:color="auto"/>
            <w:bottom w:val="none" w:sz="0" w:space="0" w:color="auto"/>
            <w:right w:val="none" w:sz="0" w:space="0" w:color="auto"/>
          </w:divBdr>
        </w:div>
        <w:div w:id="1644700592">
          <w:marLeft w:val="720"/>
          <w:marRight w:val="0"/>
          <w:marTop w:val="91"/>
          <w:marBottom w:val="0"/>
          <w:divBdr>
            <w:top w:val="none" w:sz="0" w:space="0" w:color="auto"/>
            <w:left w:val="none" w:sz="0" w:space="0" w:color="auto"/>
            <w:bottom w:val="none" w:sz="0" w:space="0" w:color="auto"/>
            <w:right w:val="none" w:sz="0" w:space="0" w:color="auto"/>
          </w:divBdr>
        </w:div>
        <w:div w:id="1786658587">
          <w:marLeft w:val="907"/>
          <w:marRight w:val="0"/>
          <w:marTop w:val="72"/>
          <w:marBottom w:val="0"/>
          <w:divBdr>
            <w:top w:val="none" w:sz="0" w:space="0" w:color="auto"/>
            <w:left w:val="none" w:sz="0" w:space="0" w:color="auto"/>
            <w:bottom w:val="none" w:sz="0" w:space="0" w:color="auto"/>
            <w:right w:val="none" w:sz="0" w:space="0" w:color="auto"/>
          </w:divBdr>
        </w:div>
        <w:div w:id="1938052718">
          <w:marLeft w:val="907"/>
          <w:marRight w:val="0"/>
          <w:marTop w:val="72"/>
          <w:marBottom w:val="0"/>
          <w:divBdr>
            <w:top w:val="none" w:sz="0" w:space="0" w:color="auto"/>
            <w:left w:val="none" w:sz="0" w:space="0" w:color="auto"/>
            <w:bottom w:val="none" w:sz="0" w:space="0" w:color="auto"/>
            <w:right w:val="none" w:sz="0" w:space="0" w:color="auto"/>
          </w:divBdr>
        </w:div>
        <w:div w:id="2051222233">
          <w:marLeft w:val="907"/>
          <w:marRight w:val="0"/>
          <w:marTop w:val="72"/>
          <w:marBottom w:val="0"/>
          <w:divBdr>
            <w:top w:val="none" w:sz="0" w:space="0" w:color="auto"/>
            <w:left w:val="none" w:sz="0" w:space="0" w:color="auto"/>
            <w:bottom w:val="none" w:sz="0" w:space="0" w:color="auto"/>
            <w:right w:val="none" w:sz="0" w:space="0" w:color="auto"/>
          </w:divBdr>
        </w:div>
        <w:div w:id="2071153172">
          <w:marLeft w:val="720"/>
          <w:marRight w:val="0"/>
          <w:marTop w:val="91"/>
          <w:marBottom w:val="0"/>
          <w:divBdr>
            <w:top w:val="none" w:sz="0" w:space="0" w:color="auto"/>
            <w:left w:val="none" w:sz="0" w:space="0" w:color="auto"/>
            <w:bottom w:val="none" w:sz="0" w:space="0" w:color="auto"/>
            <w:right w:val="none" w:sz="0" w:space="0" w:color="auto"/>
          </w:divBdr>
        </w:div>
        <w:div w:id="2089035048">
          <w:marLeft w:val="907"/>
          <w:marRight w:val="0"/>
          <w:marTop w:val="72"/>
          <w:marBottom w:val="0"/>
          <w:divBdr>
            <w:top w:val="none" w:sz="0" w:space="0" w:color="auto"/>
            <w:left w:val="none" w:sz="0" w:space="0" w:color="auto"/>
            <w:bottom w:val="none" w:sz="0" w:space="0" w:color="auto"/>
            <w:right w:val="none" w:sz="0" w:space="0" w:color="auto"/>
          </w:divBdr>
        </w:div>
      </w:divsChild>
    </w:div>
    <w:div w:id="219100392">
      <w:bodyDiv w:val="1"/>
      <w:marLeft w:val="0"/>
      <w:marRight w:val="0"/>
      <w:marTop w:val="0"/>
      <w:marBottom w:val="0"/>
      <w:divBdr>
        <w:top w:val="none" w:sz="0" w:space="0" w:color="auto"/>
        <w:left w:val="none" w:sz="0" w:space="0" w:color="auto"/>
        <w:bottom w:val="none" w:sz="0" w:space="0" w:color="auto"/>
        <w:right w:val="none" w:sz="0" w:space="0" w:color="auto"/>
      </w:divBdr>
    </w:div>
    <w:div w:id="237401149">
      <w:bodyDiv w:val="1"/>
      <w:marLeft w:val="0"/>
      <w:marRight w:val="0"/>
      <w:marTop w:val="0"/>
      <w:marBottom w:val="0"/>
      <w:divBdr>
        <w:top w:val="none" w:sz="0" w:space="0" w:color="auto"/>
        <w:left w:val="none" w:sz="0" w:space="0" w:color="auto"/>
        <w:bottom w:val="none" w:sz="0" w:space="0" w:color="auto"/>
        <w:right w:val="none" w:sz="0" w:space="0" w:color="auto"/>
      </w:divBdr>
      <w:divsChild>
        <w:div w:id="2021005681">
          <w:marLeft w:val="1022"/>
          <w:marRight w:val="0"/>
          <w:marTop w:val="86"/>
          <w:marBottom w:val="0"/>
          <w:divBdr>
            <w:top w:val="none" w:sz="0" w:space="0" w:color="auto"/>
            <w:left w:val="none" w:sz="0" w:space="0" w:color="auto"/>
            <w:bottom w:val="none" w:sz="0" w:space="0" w:color="auto"/>
            <w:right w:val="none" w:sz="0" w:space="0" w:color="auto"/>
          </w:divBdr>
        </w:div>
      </w:divsChild>
    </w:div>
    <w:div w:id="251739909">
      <w:bodyDiv w:val="1"/>
      <w:marLeft w:val="0"/>
      <w:marRight w:val="0"/>
      <w:marTop w:val="0"/>
      <w:marBottom w:val="0"/>
      <w:divBdr>
        <w:top w:val="none" w:sz="0" w:space="0" w:color="auto"/>
        <w:left w:val="none" w:sz="0" w:space="0" w:color="auto"/>
        <w:bottom w:val="none" w:sz="0" w:space="0" w:color="auto"/>
        <w:right w:val="none" w:sz="0" w:space="0" w:color="auto"/>
      </w:divBdr>
      <w:divsChild>
        <w:div w:id="1203439793">
          <w:marLeft w:val="446"/>
          <w:marRight w:val="0"/>
          <w:marTop w:val="0"/>
          <w:marBottom w:val="0"/>
          <w:divBdr>
            <w:top w:val="none" w:sz="0" w:space="0" w:color="auto"/>
            <w:left w:val="none" w:sz="0" w:space="0" w:color="auto"/>
            <w:bottom w:val="none" w:sz="0" w:space="0" w:color="auto"/>
            <w:right w:val="none" w:sz="0" w:space="0" w:color="auto"/>
          </w:divBdr>
        </w:div>
        <w:div w:id="1405840552">
          <w:marLeft w:val="446"/>
          <w:marRight w:val="0"/>
          <w:marTop w:val="0"/>
          <w:marBottom w:val="0"/>
          <w:divBdr>
            <w:top w:val="none" w:sz="0" w:space="0" w:color="auto"/>
            <w:left w:val="none" w:sz="0" w:space="0" w:color="auto"/>
            <w:bottom w:val="none" w:sz="0" w:space="0" w:color="auto"/>
            <w:right w:val="none" w:sz="0" w:space="0" w:color="auto"/>
          </w:divBdr>
        </w:div>
        <w:div w:id="162209323">
          <w:marLeft w:val="446"/>
          <w:marRight w:val="0"/>
          <w:marTop w:val="0"/>
          <w:marBottom w:val="0"/>
          <w:divBdr>
            <w:top w:val="none" w:sz="0" w:space="0" w:color="auto"/>
            <w:left w:val="none" w:sz="0" w:space="0" w:color="auto"/>
            <w:bottom w:val="none" w:sz="0" w:space="0" w:color="auto"/>
            <w:right w:val="none" w:sz="0" w:space="0" w:color="auto"/>
          </w:divBdr>
        </w:div>
        <w:div w:id="1721978368">
          <w:marLeft w:val="446"/>
          <w:marRight w:val="0"/>
          <w:marTop w:val="0"/>
          <w:marBottom w:val="0"/>
          <w:divBdr>
            <w:top w:val="none" w:sz="0" w:space="0" w:color="auto"/>
            <w:left w:val="none" w:sz="0" w:space="0" w:color="auto"/>
            <w:bottom w:val="none" w:sz="0" w:space="0" w:color="auto"/>
            <w:right w:val="none" w:sz="0" w:space="0" w:color="auto"/>
          </w:divBdr>
        </w:div>
        <w:div w:id="762720937">
          <w:marLeft w:val="446"/>
          <w:marRight w:val="0"/>
          <w:marTop w:val="0"/>
          <w:marBottom w:val="0"/>
          <w:divBdr>
            <w:top w:val="none" w:sz="0" w:space="0" w:color="auto"/>
            <w:left w:val="none" w:sz="0" w:space="0" w:color="auto"/>
            <w:bottom w:val="none" w:sz="0" w:space="0" w:color="auto"/>
            <w:right w:val="none" w:sz="0" w:space="0" w:color="auto"/>
          </w:divBdr>
        </w:div>
      </w:divsChild>
    </w:div>
    <w:div w:id="269289081">
      <w:bodyDiv w:val="1"/>
      <w:marLeft w:val="0"/>
      <w:marRight w:val="0"/>
      <w:marTop w:val="0"/>
      <w:marBottom w:val="0"/>
      <w:divBdr>
        <w:top w:val="none" w:sz="0" w:space="0" w:color="auto"/>
        <w:left w:val="none" w:sz="0" w:space="0" w:color="auto"/>
        <w:bottom w:val="none" w:sz="0" w:space="0" w:color="auto"/>
        <w:right w:val="none" w:sz="0" w:space="0" w:color="auto"/>
      </w:divBdr>
    </w:div>
    <w:div w:id="269319570">
      <w:bodyDiv w:val="1"/>
      <w:marLeft w:val="0"/>
      <w:marRight w:val="0"/>
      <w:marTop w:val="0"/>
      <w:marBottom w:val="0"/>
      <w:divBdr>
        <w:top w:val="none" w:sz="0" w:space="0" w:color="auto"/>
        <w:left w:val="none" w:sz="0" w:space="0" w:color="auto"/>
        <w:bottom w:val="none" w:sz="0" w:space="0" w:color="auto"/>
        <w:right w:val="none" w:sz="0" w:space="0" w:color="auto"/>
      </w:divBdr>
    </w:div>
    <w:div w:id="272978920">
      <w:bodyDiv w:val="1"/>
      <w:marLeft w:val="0"/>
      <w:marRight w:val="0"/>
      <w:marTop w:val="0"/>
      <w:marBottom w:val="0"/>
      <w:divBdr>
        <w:top w:val="none" w:sz="0" w:space="0" w:color="auto"/>
        <w:left w:val="none" w:sz="0" w:space="0" w:color="auto"/>
        <w:bottom w:val="none" w:sz="0" w:space="0" w:color="auto"/>
        <w:right w:val="none" w:sz="0" w:space="0" w:color="auto"/>
      </w:divBdr>
      <w:divsChild>
        <w:div w:id="291136759">
          <w:marLeft w:val="1166"/>
          <w:marRight w:val="0"/>
          <w:marTop w:val="96"/>
          <w:marBottom w:val="0"/>
          <w:divBdr>
            <w:top w:val="none" w:sz="0" w:space="0" w:color="auto"/>
            <w:left w:val="none" w:sz="0" w:space="0" w:color="auto"/>
            <w:bottom w:val="none" w:sz="0" w:space="0" w:color="auto"/>
            <w:right w:val="none" w:sz="0" w:space="0" w:color="auto"/>
          </w:divBdr>
        </w:div>
        <w:div w:id="643659074">
          <w:marLeft w:val="1166"/>
          <w:marRight w:val="0"/>
          <w:marTop w:val="96"/>
          <w:marBottom w:val="0"/>
          <w:divBdr>
            <w:top w:val="none" w:sz="0" w:space="0" w:color="auto"/>
            <w:left w:val="none" w:sz="0" w:space="0" w:color="auto"/>
            <w:bottom w:val="none" w:sz="0" w:space="0" w:color="auto"/>
            <w:right w:val="none" w:sz="0" w:space="0" w:color="auto"/>
          </w:divBdr>
        </w:div>
        <w:div w:id="761921724">
          <w:marLeft w:val="1166"/>
          <w:marRight w:val="0"/>
          <w:marTop w:val="96"/>
          <w:marBottom w:val="0"/>
          <w:divBdr>
            <w:top w:val="none" w:sz="0" w:space="0" w:color="auto"/>
            <w:left w:val="none" w:sz="0" w:space="0" w:color="auto"/>
            <w:bottom w:val="none" w:sz="0" w:space="0" w:color="auto"/>
            <w:right w:val="none" w:sz="0" w:space="0" w:color="auto"/>
          </w:divBdr>
        </w:div>
        <w:div w:id="1258442100">
          <w:marLeft w:val="1166"/>
          <w:marRight w:val="0"/>
          <w:marTop w:val="96"/>
          <w:marBottom w:val="0"/>
          <w:divBdr>
            <w:top w:val="none" w:sz="0" w:space="0" w:color="auto"/>
            <w:left w:val="none" w:sz="0" w:space="0" w:color="auto"/>
            <w:bottom w:val="none" w:sz="0" w:space="0" w:color="auto"/>
            <w:right w:val="none" w:sz="0" w:space="0" w:color="auto"/>
          </w:divBdr>
        </w:div>
        <w:div w:id="1488476040">
          <w:marLeft w:val="1166"/>
          <w:marRight w:val="0"/>
          <w:marTop w:val="96"/>
          <w:marBottom w:val="0"/>
          <w:divBdr>
            <w:top w:val="none" w:sz="0" w:space="0" w:color="auto"/>
            <w:left w:val="none" w:sz="0" w:space="0" w:color="auto"/>
            <w:bottom w:val="none" w:sz="0" w:space="0" w:color="auto"/>
            <w:right w:val="none" w:sz="0" w:space="0" w:color="auto"/>
          </w:divBdr>
        </w:div>
        <w:div w:id="1499929397">
          <w:marLeft w:val="1800"/>
          <w:marRight w:val="0"/>
          <w:marTop w:val="82"/>
          <w:marBottom w:val="0"/>
          <w:divBdr>
            <w:top w:val="none" w:sz="0" w:space="0" w:color="auto"/>
            <w:left w:val="none" w:sz="0" w:space="0" w:color="auto"/>
            <w:bottom w:val="none" w:sz="0" w:space="0" w:color="auto"/>
            <w:right w:val="none" w:sz="0" w:space="0" w:color="auto"/>
          </w:divBdr>
        </w:div>
      </w:divsChild>
    </w:div>
    <w:div w:id="291324075">
      <w:bodyDiv w:val="1"/>
      <w:marLeft w:val="0"/>
      <w:marRight w:val="0"/>
      <w:marTop w:val="0"/>
      <w:marBottom w:val="0"/>
      <w:divBdr>
        <w:top w:val="none" w:sz="0" w:space="0" w:color="auto"/>
        <w:left w:val="none" w:sz="0" w:space="0" w:color="auto"/>
        <w:bottom w:val="none" w:sz="0" w:space="0" w:color="auto"/>
        <w:right w:val="none" w:sz="0" w:space="0" w:color="auto"/>
      </w:divBdr>
      <w:divsChild>
        <w:div w:id="205139454">
          <w:marLeft w:val="547"/>
          <w:marRight w:val="0"/>
          <w:marTop w:val="134"/>
          <w:marBottom w:val="0"/>
          <w:divBdr>
            <w:top w:val="none" w:sz="0" w:space="0" w:color="auto"/>
            <w:left w:val="none" w:sz="0" w:space="0" w:color="auto"/>
            <w:bottom w:val="none" w:sz="0" w:space="0" w:color="auto"/>
            <w:right w:val="none" w:sz="0" w:space="0" w:color="auto"/>
          </w:divBdr>
        </w:div>
        <w:div w:id="922421570">
          <w:marLeft w:val="547"/>
          <w:marRight w:val="0"/>
          <w:marTop w:val="134"/>
          <w:marBottom w:val="0"/>
          <w:divBdr>
            <w:top w:val="none" w:sz="0" w:space="0" w:color="auto"/>
            <w:left w:val="none" w:sz="0" w:space="0" w:color="auto"/>
            <w:bottom w:val="none" w:sz="0" w:space="0" w:color="auto"/>
            <w:right w:val="none" w:sz="0" w:space="0" w:color="auto"/>
          </w:divBdr>
        </w:div>
        <w:div w:id="959918405">
          <w:marLeft w:val="547"/>
          <w:marRight w:val="0"/>
          <w:marTop w:val="134"/>
          <w:marBottom w:val="0"/>
          <w:divBdr>
            <w:top w:val="none" w:sz="0" w:space="0" w:color="auto"/>
            <w:left w:val="none" w:sz="0" w:space="0" w:color="auto"/>
            <w:bottom w:val="none" w:sz="0" w:space="0" w:color="auto"/>
            <w:right w:val="none" w:sz="0" w:space="0" w:color="auto"/>
          </w:divBdr>
        </w:div>
        <w:div w:id="1396273915">
          <w:marLeft w:val="547"/>
          <w:marRight w:val="0"/>
          <w:marTop w:val="134"/>
          <w:marBottom w:val="0"/>
          <w:divBdr>
            <w:top w:val="none" w:sz="0" w:space="0" w:color="auto"/>
            <w:left w:val="none" w:sz="0" w:space="0" w:color="auto"/>
            <w:bottom w:val="none" w:sz="0" w:space="0" w:color="auto"/>
            <w:right w:val="none" w:sz="0" w:space="0" w:color="auto"/>
          </w:divBdr>
        </w:div>
      </w:divsChild>
    </w:div>
    <w:div w:id="291910783">
      <w:bodyDiv w:val="1"/>
      <w:marLeft w:val="0"/>
      <w:marRight w:val="0"/>
      <w:marTop w:val="0"/>
      <w:marBottom w:val="0"/>
      <w:divBdr>
        <w:top w:val="none" w:sz="0" w:space="0" w:color="auto"/>
        <w:left w:val="none" w:sz="0" w:space="0" w:color="auto"/>
        <w:bottom w:val="none" w:sz="0" w:space="0" w:color="auto"/>
        <w:right w:val="none" w:sz="0" w:space="0" w:color="auto"/>
      </w:divBdr>
      <w:divsChild>
        <w:div w:id="1183131825">
          <w:marLeft w:val="0"/>
          <w:marRight w:val="0"/>
          <w:marTop w:val="0"/>
          <w:marBottom w:val="0"/>
          <w:divBdr>
            <w:top w:val="none" w:sz="0" w:space="0" w:color="auto"/>
            <w:left w:val="none" w:sz="0" w:space="0" w:color="auto"/>
            <w:bottom w:val="none" w:sz="0" w:space="0" w:color="auto"/>
            <w:right w:val="none" w:sz="0" w:space="0" w:color="auto"/>
          </w:divBdr>
          <w:divsChild>
            <w:div w:id="1811701702">
              <w:marLeft w:val="0"/>
              <w:marRight w:val="0"/>
              <w:marTop w:val="0"/>
              <w:marBottom w:val="0"/>
              <w:divBdr>
                <w:top w:val="none" w:sz="0" w:space="0" w:color="auto"/>
                <w:left w:val="none" w:sz="0" w:space="0" w:color="auto"/>
                <w:bottom w:val="none" w:sz="0" w:space="0" w:color="auto"/>
                <w:right w:val="none" w:sz="0" w:space="0" w:color="auto"/>
              </w:divBdr>
              <w:divsChild>
                <w:div w:id="455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6777">
      <w:bodyDiv w:val="1"/>
      <w:marLeft w:val="0"/>
      <w:marRight w:val="0"/>
      <w:marTop w:val="0"/>
      <w:marBottom w:val="0"/>
      <w:divBdr>
        <w:top w:val="none" w:sz="0" w:space="0" w:color="auto"/>
        <w:left w:val="none" w:sz="0" w:space="0" w:color="auto"/>
        <w:bottom w:val="none" w:sz="0" w:space="0" w:color="auto"/>
        <w:right w:val="none" w:sz="0" w:space="0" w:color="auto"/>
      </w:divBdr>
    </w:div>
    <w:div w:id="299266401">
      <w:bodyDiv w:val="1"/>
      <w:marLeft w:val="0"/>
      <w:marRight w:val="0"/>
      <w:marTop w:val="0"/>
      <w:marBottom w:val="0"/>
      <w:divBdr>
        <w:top w:val="none" w:sz="0" w:space="0" w:color="auto"/>
        <w:left w:val="none" w:sz="0" w:space="0" w:color="auto"/>
        <w:bottom w:val="none" w:sz="0" w:space="0" w:color="auto"/>
        <w:right w:val="none" w:sz="0" w:space="0" w:color="auto"/>
      </w:divBdr>
    </w:div>
    <w:div w:id="302270459">
      <w:bodyDiv w:val="1"/>
      <w:marLeft w:val="0"/>
      <w:marRight w:val="0"/>
      <w:marTop w:val="0"/>
      <w:marBottom w:val="0"/>
      <w:divBdr>
        <w:top w:val="none" w:sz="0" w:space="0" w:color="auto"/>
        <w:left w:val="none" w:sz="0" w:space="0" w:color="auto"/>
        <w:bottom w:val="none" w:sz="0" w:space="0" w:color="auto"/>
        <w:right w:val="none" w:sz="0" w:space="0" w:color="auto"/>
      </w:divBdr>
      <w:divsChild>
        <w:div w:id="163132690">
          <w:marLeft w:val="547"/>
          <w:marRight w:val="0"/>
          <w:marTop w:val="154"/>
          <w:marBottom w:val="0"/>
          <w:divBdr>
            <w:top w:val="none" w:sz="0" w:space="0" w:color="auto"/>
            <w:left w:val="none" w:sz="0" w:space="0" w:color="auto"/>
            <w:bottom w:val="none" w:sz="0" w:space="0" w:color="auto"/>
            <w:right w:val="none" w:sz="0" w:space="0" w:color="auto"/>
          </w:divBdr>
        </w:div>
        <w:div w:id="589851243">
          <w:marLeft w:val="547"/>
          <w:marRight w:val="0"/>
          <w:marTop w:val="154"/>
          <w:marBottom w:val="0"/>
          <w:divBdr>
            <w:top w:val="none" w:sz="0" w:space="0" w:color="auto"/>
            <w:left w:val="none" w:sz="0" w:space="0" w:color="auto"/>
            <w:bottom w:val="none" w:sz="0" w:space="0" w:color="auto"/>
            <w:right w:val="none" w:sz="0" w:space="0" w:color="auto"/>
          </w:divBdr>
        </w:div>
        <w:div w:id="706834430">
          <w:marLeft w:val="1166"/>
          <w:marRight w:val="0"/>
          <w:marTop w:val="134"/>
          <w:marBottom w:val="0"/>
          <w:divBdr>
            <w:top w:val="none" w:sz="0" w:space="0" w:color="auto"/>
            <w:left w:val="none" w:sz="0" w:space="0" w:color="auto"/>
            <w:bottom w:val="none" w:sz="0" w:space="0" w:color="auto"/>
            <w:right w:val="none" w:sz="0" w:space="0" w:color="auto"/>
          </w:divBdr>
        </w:div>
        <w:div w:id="1664892847">
          <w:marLeft w:val="1166"/>
          <w:marRight w:val="0"/>
          <w:marTop w:val="134"/>
          <w:marBottom w:val="0"/>
          <w:divBdr>
            <w:top w:val="none" w:sz="0" w:space="0" w:color="auto"/>
            <w:left w:val="none" w:sz="0" w:space="0" w:color="auto"/>
            <w:bottom w:val="none" w:sz="0" w:space="0" w:color="auto"/>
            <w:right w:val="none" w:sz="0" w:space="0" w:color="auto"/>
          </w:divBdr>
        </w:div>
      </w:divsChild>
    </w:div>
    <w:div w:id="345256816">
      <w:bodyDiv w:val="1"/>
      <w:marLeft w:val="0"/>
      <w:marRight w:val="0"/>
      <w:marTop w:val="0"/>
      <w:marBottom w:val="0"/>
      <w:divBdr>
        <w:top w:val="none" w:sz="0" w:space="0" w:color="auto"/>
        <w:left w:val="none" w:sz="0" w:space="0" w:color="auto"/>
        <w:bottom w:val="none" w:sz="0" w:space="0" w:color="auto"/>
        <w:right w:val="none" w:sz="0" w:space="0" w:color="auto"/>
      </w:divBdr>
    </w:div>
    <w:div w:id="349182764">
      <w:bodyDiv w:val="1"/>
      <w:marLeft w:val="0"/>
      <w:marRight w:val="0"/>
      <w:marTop w:val="0"/>
      <w:marBottom w:val="0"/>
      <w:divBdr>
        <w:top w:val="none" w:sz="0" w:space="0" w:color="auto"/>
        <w:left w:val="none" w:sz="0" w:space="0" w:color="auto"/>
        <w:bottom w:val="none" w:sz="0" w:space="0" w:color="auto"/>
        <w:right w:val="none" w:sz="0" w:space="0" w:color="auto"/>
      </w:divBdr>
    </w:div>
    <w:div w:id="352925971">
      <w:bodyDiv w:val="1"/>
      <w:marLeft w:val="0"/>
      <w:marRight w:val="0"/>
      <w:marTop w:val="0"/>
      <w:marBottom w:val="0"/>
      <w:divBdr>
        <w:top w:val="none" w:sz="0" w:space="0" w:color="auto"/>
        <w:left w:val="none" w:sz="0" w:space="0" w:color="auto"/>
        <w:bottom w:val="none" w:sz="0" w:space="0" w:color="auto"/>
        <w:right w:val="none" w:sz="0" w:space="0" w:color="auto"/>
      </w:divBdr>
    </w:div>
    <w:div w:id="354428813">
      <w:bodyDiv w:val="1"/>
      <w:marLeft w:val="0"/>
      <w:marRight w:val="0"/>
      <w:marTop w:val="0"/>
      <w:marBottom w:val="0"/>
      <w:divBdr>
        <w:top w:val="none" w:sz="0" w:space="0" w:color="auto"/>
        <w:left w:val="none" w:sz="0" w:space="0" w:color="auto"/>
        <w:bottom w:val="none" w:sz="0" w:space="0" w:color="auto"/>
        <w:right w:val="none" w:sz="0" w:space="0" w:color="auto"/>
      </w:divBdr>
    </w:div>
    <w:div w:id="360202886">
      <w:bodyDiv w:val="1"/>
      <w:marLeft w:val="0"/>
      <w:marRight w:val="0"/>
      <w:marTop w:val="0"/>
      <w:marBottom w:val="0"/>
      <w:divBdr>
        <w:top w:val="none" w:sz="0" w:space="0" w:color="auto"/>
        <w:left w:val="none" w:sz="0" w:space="0" w:color="auto"/>
        <w:bottom w:val="none" w:sz="0" w:space="0" w:color="auto"/>
        <w:right w:val="none" w:sz="0" w:space="0" w:color="auto"/>
      </w:divBdr>
    </w:div>
    <w:div w:id="370110983">
      <w:bodyDiv w:val="1"/>
      <w:marLeft w:val="0"/>
      <w:marRight w:val="0"/>
      <w:marTop w:val="0"/>
      <w:marBottom w:val="0"/>
      <w:divBdr>
        <w:top w:val="none" w:sz="0" w:space="0" w:color="auto"/>
        <w:left w:val="none" w:sz="0" w:space="0" w:color="auto"/>
        <w:bottom w:val="none" w:sz="0" w:space="0" w:color="auto"/>
        <w:right w:val="none" w:sz="0" w:space="0" w:color="auto"/>
      </w:divBdr>
    </w:div>
    <w:div w:id="387803337">
      <w:bodyDiv w:val="1"/>
      <w:marLeft w:val="0"/>
      <w:marRight w:val="0"/>
      <w:marTop w:val="0"/>
      <w:marBottom w:val="0"/>
      <w:divBdr>
        <w:top w:val="none" w:sz="0" w:space="0" w:color="auto"/>
        <w:left w:val="none" w:sz="0" w:space="0" w:color="auto"/>
        <w:bottom w:val="none" w:sz="0" w:space="0" w:color="auto"/>
        <w:right w:val="none" w:sz="0" w:space="0" w:color="auto"/>
      </w:divBdr>
    </w:div>
    <w:div w:id="395781679">
      <w:bodyDiv w:val="1"/>
      <w:marLeft w:val="0"/>
      <w:marRight w:val="0"/>
      <w:marTop w:val="0"/>
      <w:marBottom w:val="0"/>
      <w:divBdr>
        <w:top w:val="none" w:sz="0" w:space="0" w:color="auto"/>
        <w:left w:val="none" w:sz="0" w:space="0" w:color="auto"/>
        <w:bottom w:val="none" w:sz="0" w:space="0" w:color="auto"/>
        <w:right w:val="none" w:sz="0" w:space="0" w:color="auto"/>
      </w:divBdr>
    </w:div>
    <w:div w:id="424763192">
      <w:bodyDiv w:val="1"/>
      <w:marLeft w:val="0"/>
      <w:marRight w:val="0"/>
      <w:marTop w:val="0"/>
      <w:marBottom w:val="0"/>
      <w:divBdr>
        <w:top w:val="none" w:sz="0" w:space="0" w:color="auto"/>
        <w:left w:val="none" w:sz="0" w:space="0" w:color="auto"/>
        <w:bottom w:val="none" w:sz="0" w:space="0" w:color="auto"/>
        <w:right w:val="none" w:sz="0" w:space="0" w:color="auto"/>
      </w:divBdr>
      <w:divsChild>
        <w:div w:id="266667129">
          <w:marLeft w:val="1166"/>
          <w:marRight w:val="0"/>
          <w:marTop w:val="91"/>
          <w:marBottom w:val="0"/>
          <w:divBdr>
            <w:top w:val="none" w:sz="0" w:space="0" w:color="auto"/>
            <w:left w:val="none" w:sz="0" w:space="0" w:color="auto"/>
            <w:bottom w:val="none" w:sz="0" w:space="0" w:color="auto"/>
            <w:right w:val="none" w:sz="0" w:space="0" w:color="auto"/>
          </w:divBdr>
        </w:div>
        <w:div w:id="384721228">
          <w:marLeft w:val="547"/>
          <w:marRight w:val="0"/>
          <w:marTop w:val="106"/>
          <w:marBottom w:val="0"/>
          <w:divBdr>
            <w:top w:val="none" w:sz="0" w:space="0" w:color="auto"/>
            <w:left w:val="none" w:sz="0" w:space="0" w:color="auto"/>
            <w:bottom w:val="none" w:sz="0" w:space="0" w:color="auto"/>
            <w:right w:val="none" w:sz="0" w:space="0" w:color="auto"/>
          </w:divBdr>
        </w:div>
        <w:div w:id="452528307">
          <w:marLeft w:val="1166"/>
          <w:marRight w:val="0"/>
          <w:marTop w:val="91"/>
          <w:marBottom w:val="0"/>
          <w:divBdr>
            <w:top w:val="none" w:sz="0" w:space="0" w:color="auto"/>
            <w:left w:val="none" w:sz="0" w:space="0" w:color="auto"/>
            <w:bottom w:val="none" w:sz="0" w:space="0" w:color="auto"/>
            <w:right w:val="none" w:sz="0" w:space="0" w:color="auto"/>
          </w:divBdr>
        </w:div>
        <w:div w:id="488906827">
          <w:marLeft w:val="1166"/>
          <w:marRight w:val="0"/>
          <w:marTop w:val="91"/>
          <w:marBottom w:val="0"/>
          <w:divBdr>
            <w:top w:val="none" w:sz="0" w:space="0" w:color="auto"/>
            <w:left w:val="none" w:sz="0" w:space="0" w:color="auto"/>
            <w:bottom w:val="none" w:sz="0" w:space="0" w:color="auto"/>
            <w:right w:val="none" w:sz="0" w:space="0" w:color="auto"/>
          </w:divBdr>
        </w:div>
        <w:div w:id="1050304851">
          <w:marLeft w:val="547"/>
          <w:marRight w:val="0"/>
          <w:marTop w:val="106"/>
          <w:marBottom w:val="0"/>
          <w:divBdr>
            <w:top w:val="none" w:sz="0" w:space="0" w:color="auto"/>
            <w:left w:val="none" w:sz="0" w:space="0" w:color="auto"/>
            <w:bottom w:val="none" w:sz="0" w:space="0" w:color="auto"/>
            <w:right w:val="none" w:sz="0" w:space="0" w:color="auto"/>
          </w:divBdr>
        </w:div>
        <w:div w:id="1367482476">
          <w:marLeft w:val="547"/>
          <w:marRight w:val="0"/>
          <w:marTop w:val="106"/>
          <w:marBottom w:val="0"/>
          <w:divBdr>
            <w:top w:val="none" w:sz="0" w:space="0" w:color="auto"/>
            <w:left w:val="none" w:sz="0" w:space="0" w:color="auto"/>
            <w:bottom w:val="none" w:sz="0" w:space="0" w:color="auto"/>
            <w:right w:val="none" w:sz="0" w:space="0" w:color="auto"/>
          </w:divBdr>
        </w:div>
        <w:div w:id="1367676018">
          <w:marLeft w:val="1166"/>
          <w:marRight w:val="0"/>
          <w:marTop w:val="91"/>
          <w:marBottom w:val="0"/>
          <w:divBdr>
            <w:top w:val="none" w:sz="0" w:space="0" w:color="auto"/>
            <w:left w:val="none" w:sz="0" w:space="0" w:color="auto"/>
            <w:bottom w:val="none" w:sz="0" w:space="0" w:color="auto"/>
            <w:right w:val="none" w:sz="0" w:space="0" w:color="auto"/>
          </w:divBdr>
        </w:div>
        <w:div w:id="1443647547">
          <w:marLeft w:val="547"/>
          <w:marRight w:val="0"/>
          <w:marTop w:val="106"/>
          <w:marBottom w:val="0"/>
          <w:divBdr>
            <w:top w:val="none" w:sz="0" w:space="0" w:color="auto"/>
            <w:left w:val="none" w:sz="0" w:space="0" w:color="auto"/>
            <w:bottom w:val="none" w:sz="0" w:space="0" w:color="auto"/>
            <w:right w:val="none" w:sz="0" w:space="0" w:color="auto"/>
          </w:divBdr>
        </w:div>
        <w:div w:id="1778328742">
          <w:marLeft w:val="547"/>
          <w:marRight w:val="0"/>
          <w:marTop w:val="106"/>
          <w:marBottom w:val="0"/>
          <w:divBdr>
            <w:top w:val="none" w:sz="0" w:space="0" w:color="auto"/>
            <w:left w:val="none" w:sz="0" w:space="0" w:color="auto"/>
            <w:bottom w:val="none" w:sz="0" w:space="0" w:color="auto"/>
            <w:right w:val="none" w:sz="0" w:space="0" w:color="auto"/>
          </w:divBdr>
        </w:div>
        <w:div w:id="1936160577">
          <w:marLeft w:val="1166"/>
          <w:marRight w:val="0"/>
          <w:marTop w:val="91"/>
          <w:marBottom w:val="0"/>
          <w:divBdr>
            <w:top w:val="none" w:sz="0" w:space="0" w:color="auto"/>
            <w:left w:val="none" w:sz="0" w:space="0" w:color="auto"/>
            <w:bottom w:val="none" w:sz="0" w:space="0" w:color="auto"/>
            <w:right w:val="none" w:sz="0" w:space="0" w:color="auto"/>
          </w:divBdr>
        </w:div>
        <w:div w:id="2126918460">
          <w:marLeft w:val="1166"/>
          <w:marRight w:val="0"/>
          <w:marTop w:val="91"/>
          <w:marBottom w:val="0"/>
          <w:divBdr>
            <w:top w:val="none" w:sz="0" w:space="0" w:color="auto"/>
            <w:left w:val="none" w:sz="0" w:space="0" w:color="auto"/>
            <w:bottom w:val="none" w:sz="0" w:space="0" w:color="auto"/>
            <w:right w:val="none" w:sz="0" w:space="0" w:color="auto"/>
          </w:divBdr>
        </w:div>
      </w:divsChild>
    </w:div>
    <w:div w:id="430517488">
      <w:bodyDiv w:val="1"/>
      <w:marLeft w:val="0"/>
      <w:marRight w:val="0"/>
      <w:marTop w:val="0"/>
      <w:marBottom w:val="0"/>
      <w:divBdr>
        <w:top w:val="none" w:sz="0" w:space="0" w:color="auto"/>
        <w:left w:val="none" w:sz="0" w:space="0" w:color="auto"/>
        <w:bottom w:val="none" w:sz="0" w:space="0" w:color="auto"/>
        <w:right w:val="none" w:sz="0" w:space="0" w:color="auto"/>
      </w:divBdr>
    </w:div>
    <w:div w:id="442111859">
      <w:bodyDiv w:val="1"/>
      <w:marLeft w:val="0"/>
      <w:marRight w:val="0"/>
      <w:marTop w:val="0"/>
      <w:marBottom w:val="0"/>
      <w:divBdr>
        <w:top w:val="none" w:sz="0" w:space="0" w:color="auto"/>
        <w:left w:val="none" w:sz="0" w:space="0" w:color="auto"/>
        <w:bottom w:val="none" w:sz="0" w:space="0" w:color="auto"/>
        <w:right w:val="none" w:sz="0" w:space="0" w:color="auto"/>
      </w:divBdr>
      <w:divsChild>
        <w:div w:id="391849947">
          <w:marLeft w:val="1166"/>
          <w:marRight w:val="0"/>
          <w:marTop w:val="125"/>
          <w:marBottom w:val="0"/>
          <w:divBdr>
            <w:top w:val="none" w:sz="0" w:space="0" w:color="auto"/>
            <w:left w:val="none" w:sz="0" w:space="0" w:color="auto"/>
            <w:bottom w:val="none" w:sz="0" w:space="0" w:color="auto"/>
            <w:right w:val="none" w:sz="0" w:space="0" w:color="auto"/>
          </w:divBdr>
        </w:div>
        <w:div w:id="408893648">
          <w:marLeft w:val="547"/>
          <w:marRight w:val="0"/>
          <w:marTop w:val="144"/>
          <w:marBottom w:val="0"/>
          <w:divBdr>
            <w:top w:val="none" w:sz="0" w:space="0" w:color="auto"/>
            <w:left w:val="none" w:sz="0" w:space="0" w:color="auto"/>
            <w:bottom w:val="none" w:sz="0" w:space="0" w:color="auto"/>
            <w:right w:val="none" w:sz="0" w:space="0" w:color="auto"/>
          </w:divBdr>
        </w:div>
        <w:div w:id="729427918">
          <w:marLeft w:val="547"/>
          <w:marRight w:val="0"/>
          <w:marTop w:val="144"/>
          <w:marBottom w:val="0"/>
          <w:divBdr>
            <w:top w:val="none" w:sz="0" w:space="0" w:color="auto"/>
            <w:left w:val="none" w:sz="0" w:space="0" w:color="auto"/>
            <w:bottom w:val="none" w:sz="0" w:space="0" w:color="auto"/>
            <w:right w:val="none" w:sz="0" w:space="0" w:color="auto"/>
          </w:divBdr>
        </w:div>
        <w:div w:id="1770545658">
          <w:marLeft w:val="1166"/>
          <w:marRight w:val="0"/>
          <w:marTop w:val="125"/>
          <w:marBottom w:val="0"/>
          <w:divBdr>
            <w:top w:val="none" w:sz="0" w:space="0" w:color="auto"/>
            <w:left w:val="none" w:sz="0" w:space="0" w:color="auto"/>
            <w:bottom w:val="none" w:sz="0" w:space="0" w:color="auto"/>
            <w:right w:val="none" w:sz="0" w:space="0" w:color="auto"/>
          </w:divBdr>
        </w:div>
        <w:div w:id="1809518675">
          <w:marLeft w:val="547"/>
          <w:marRight w:val="0"/>
          <w:marTop w:val="144"/>
          <w:marBottom w:val="0"/>
          <w:divBdr>
            <w:top w:val="none" w:sz="0" w:space="0" w:color="auto"/>
            <w:left w:val="none" w:sz="0" w:space="0" w:color="auto"/>
            <w:bottom w:val="none" w:sz="0" w:space="0" w:color="auto"/>
            <w:right w:val="none" w:sz="0" w:space="0" w:color="auto"/>
          </w:divBdr>
        </w:div>
        <w:div w:id="1957561208">
          <w:marLeft w:val="1166"/>
          <w:marRight w:val="0"/>
          <w:marTop w:val="125"/>
          <w:marBottom w:val="0"/>
          <w:divBdr>
            <w:top w:val="none" w:sz="0" w:space="0" w:color="auto"/>
            <w:left w:val="none" w:sz="0" w:space="0" w:color="auto"/>
            <w:bottom w:val="none" w:sz="0" w:space="0" w:color="auto"/>
            <w:right w:val="none" w:sz="0" w:space="0" w:color="auto"/>
          </w:divBdr>
        </w:div>
      </w:divsChild>
    </w:div>
    <w:div w:id="448478693">
      <w:bodyDiv w:val="1"/>
      <w:marLeft w:val="0"/>
      <w:marRight w:val="0"/>
      <w:marTop w:val="0"/>
      <w:marBottom w:val="0"/>
      <w:divBdr>
        <w:top w:val="none" w:sz="0" w:space="0" w:color="auto"/>
        <w:left w:val="none" w:sz="0" w:space="0" w:color="auto"/>
        <w:bottom w:val="none" w:sz="0" w:space="0" w:color="auto"/>
        <w:right w:val="none" w:sz="0" w:space="0" w:color="auto"/>
      </w:divBdr>
    </w:div>
    <w:div w:id="467285548">
      <w:bodyDiv w:val="1"/>
      <w:marLeft w:val="0"/>
      <w:marRight w:val="0"/>
      <w:marTop w:val="0"/>
      <w:marBottom w:val="0"/>
      <w:divBdr>
        <w:top w:val="none" w:sz="0" w:space="0" w:color="auto"/>
        <w:left w:val="none" w:sz="0" w:space="0" w:color="auto"/>
        <w:bottom w:val="none" w:sz="0" w:space="0" w:color="auto"/>
        <w:right w:val="none" w:sz="0" w:space="0" w:color="auto"/>
      </w:divBdr>
    </w:div>
    <w:div w:id="470565088">
      <w:bodyDiv w:val="1"/>
      <w:marLeft w:val="0"/>
      <w:marRight w:val="0"/>
      <w:marTop w:val="0"/>
      <w:marBottom w:val="0"/>
      <w:divBdr>
        <w:top w:val="none" w:sz="0" w:space="0" w:color="auto"/>
        <w:left w:val="none" w:sz="0" w:space="0" w:color="auto"/>
        <w:bottom w:val="none" w:sz="0" w:space="0" w:color="auto"/>
        <w:right w:val="none" w:sz="0" w:space="0" w:color="auto"/>
      </w:divBdr>
      <w:divsChild>
        <w:div w:id="1045593938">
          <w:marLeft w:val="274"/>
          <w:marRight w:val="0"/>
          <w:marTop w:val="0"/>
          <w:marBottom w:val="0"/>
          <w:divBdr>
            <w:top w:val="none" w:sz="0" w:space="0" w:color="auto"/>
            <w:left w:val="none" w:sz="0" w:space="0" w:color="auto"/>
            <w:bottom w:val="none" w:sz="0" w:space="0" w:color="auto"/>
            <w:right w:val="none" w:sz="0" w:space="0" w:color="auto"/>
          </w:divBdr>
        </w:div>
      </w:divsChild>
    </w:div>
    <w:div w:id="491410203">
      <w:bodyDiv w:val="1"/>
      <w:marLeft w:val="0"/>
      <w:marRight w:val="0"/>
      <w:marTop w:val="0"/>
      <w:marBottom w:val="0"/>
      <w:divBdr>
        <w:top w:val="none" w:sz="0" w:space="0" w:color="auto"/>
        <w:left w:val="none" w:sz="0" w:space="0" w:color="auto"/>
        <w:bottom w:val="none" w:sz="0" w:space="0" w:color="auto"/>
        <w:right w:val="none" w:sz="0" w:space="0" w:color="auto"/>
      </w:divBdr>
      <w:divsChild>
        <w:div w:id="99572973">
          <w:marLeft w:val="547"/>
          <w:marRight w:val="0"/>
          <w:marTop w:val="106"/>
          <w:marBottom w:val="0"/>
          <w:divBdr>
            <w:top w:val="none" w:sz="0" w:space="0" w:color="auto"/>
            <w:left w:val="none" w:sz="0" w:space="0" w:color="auto"/>
            <w:bottom w:val="none" w:sz="0" w:space="0" w:color="auto"/>
            <w:right w:val="none" w:sz="0" w:space="0" w:color="auto"/>
          </w:divBdr>
        </w:div>
      </w:divsChild>
    </w:div>
    <w:div w:id="491798074">
      <w:bodyDiv w:val="1"/>
      <w:marLeft w:val="0"/>
      <w:marRight w:val="0"/>
      <w:marTop w:val="0"/>
      <w:marBottom w:val="0"/>
      <w:divBdr>
        <w:top w:val="none" w:sz="0" w:space="0" w:color="auto"/>
        <w:left w:val="none" w:sz="0" w:space="0" w:color="auto"/>
        <w:bottom w:val="none" w:sz="0" w:space="0" w:color="auto"/>
        <w:right w:val="none" w:sz="0" w:space="0" w:color="auto"/>
      </w:divBdr>
    </w:div>
    <w:div w:id="520704425">
      <w:bodyDiv w:val="1"/>
      <w:marLeft w:val="0"/>
      <w:marRight w:val="0"/>
      <w:marTop w:val="0"/>
      <w:marBottom w:val="0"/>
      <w:divBdr>
        <w:top w:val="none" w:sz="0" w:space="0" w:color="auto"/>
        <w:left w:val="none" w:sz="0" w:space="0" w:color="auto"/>
        <w:bottom w:val="none" w:sz="0" w:space="0" w:color="auto"/>
        <w:right w:val="none" w:sz="0" w:space="0" w:color="auto"/>
      </w:divBdr>
    </w:div>
    <w:div w:id="531580671">
      <w:bodyDiv w:val="1"/>
      <w:marLeft w:val="0"/>
      <w:marRight w:val="0"/>
      <w:marTop w:val="0"/>
      <w:marBottom w:val="0"/>
      <w:divBdr>
        <w:top w:val="none" w:sz="0" w:space="0" w:color="auto"/>
        <w:left w:val="none" w:sz="0" w:space="0" w:color="auto"/>
        <w:bottom w:val="none" w:sz="0" w:space="0" w:color="auto"/>
        <w:right w:val="none" w:sz="0" w:space="0" w:color="auto"/>
      </w:divBdr>
      <w:divsChild>
        <w:div w:id="338243274">
          <w:marLeft w:val="547"/>
          <w:marRight w:val="0"/>
          <w:marTop w:val="154"/>
          <w:marBottom w:val="0"/>
          <w:divBdr>
            <w:top w:val="none" w:sz="0" w:space="0" w:color="auto"/>
            <w:left w:val="none" w:sz="0" w:space="0" w:color="auto"/>
            <w:bottom w:val="none" w:sz="0" w:space="0" w:color="auto"/>
            <w:right w:val="none" w:sz="0" w:space="0" w:color="auto"/>
          </w:divBdr>
        </w:div>
        <w:div w:id="403719987">
          <w:marLeft w:val="547"/>
          <w:marRight w:val="0"/>
          <w:marTop w:val="154"/>
          <w:marBottom w:val="0"/>
          <w:divBdr>
            <w:top w:val="none" w:sz="0" w:space="0" w:color="auto"/>
            <w:left w:val="none" w:sz="0" w:space="0" w:color="auto"/>
            <w:bottom w:val="none" w:sz="0" w:space="0" w:color="auto"/>
            <w:right w:val="none" w:sz="0" w:space="0" w:color="auto"/>
          </w:divBdr>
        </w:div>
        <w:div w:id="437139459">
          <w:marLeft w:val="547"/>
          <w:marRight w:val="0"/>
          <w:marTop w:val="154"/>
          <w:marBottom w:val="0"/>
          <w:divBdr>
            <w:top w:val="none" w:sz="0" w:space="0" w:color="auto"/>
            <w:left w:val="none" w:sz="0" w:space="0" w:color="auto"/>
            <w:bottom w:val="none" w:sz="0" w:space="0" w:color="auto"/>
            <w:right w:val="none" w:sz="0" w:space="0" w:color="auto"/>
          </w:divBdr>
        </w:div>
        <w:div w:id="702244534">
          <w:marLeft w:val="1166"/>
          <w:marRight w:val="0"/>
          <w:marTop w:val="134"/>
          <w:marBottom w:val="0"/>
          <w:divBdr>
            <w:top w:val="none" w:sz="0" w:space="0" w:color="auto"/>
            <w:left w:val="none" w:sz="0" w:space="0" w:color="auto"/>
            <w:bottom w:val="none" w:sz="0" w:space="0" w:color="auto"/>
            <w:right w:val="none" w:sz="0" w:space="0" w:color="auto"/>
          </w:divBdr>
        </w:div>
        <w:div w:id="958070916">
          <w:marLeft w:val="1166"/>
          <w:marRight w:val="0"/>
          <w:marTop w:val="134"/>
          <w:marBottom w:val="0"/>
          <w:divBdr>
            <w:top w:val="none" w:sz="0" w:space="0" w:color="auto"/>
            <w:left w:val="none" w:sz="0" w:space="0" w:color="auto"/>
            <w:bottom w:val="none" w:sz="0" w:space="0" w:color="auto"/>
            <w:right w:val="none" w:sz="0" w:space="0" w:color="auto"/>
          </w:divBdr>
        </w:div>
        <w:div w:id="1000044199">
          <w:marLeft w:val="1166"/>
          <w:marRight w:val="0"/>
          <w:marTop w:val="134"/>
          <w:marBottom w:val="0"/>
          <w:divBdr>
            <w:top w:val="none" w:sz="0" w:space="0" w:color="auto"/>
            <w:left w:val="none" w:sz="0" w:space="0" w:color="auto"/>
            <w:bottom w:val="none" w:sz="0" w:space="0" w:color="auto"/>
            <w:right w:val="none" w:sz="0" w:space="0" w:color="auto"/>
          </w:divBdr>
        </w:div>
        <w:div w:id="1382703727">
          <w:marLeft w:val="547"/>
          <w:marRight w:val="0"/>
          <w:marTop w:val="154"/>
          <w:marBottom w:val="0"/>
          <w:divBdr>
            <w:top w:val="none" w:sz="0" w:space="0" w:color="auto"/>
            <w:left w:val="none" w:sz="0" w:space="0" w:color="auto"/>
            <w:bottom w:val="none" w:sz="0" w:space="0" w:color="auto"/>
            <w:right w:val="none" w:sz="0" w:space="0" w:color="auto"/>
          </w:divBdr>
        </w:div>
      </w:divsChild>
    </w:div>
    <w:div w:id="542669589">
      <w:bodyDiv w:val="1"/>
      <w:marLeft w:val="0"/>
      <w:marRight w:val="0"/>
      <w:marTop w:val="0"/>
      <w:marBottom w:val="0"/>
      <w:divBdr>
        <w:top w:val="none" w:sz="0" w:space="0" w:color="auto"/>
        <w:left w:val="none" w:sz="0" w:space="0" w:color="auto"/>
        <w:bottom w:val="none" w:sz="0" w:space="0" w:color="auto"/>
        <w:right w:val="none" w:sz="0" w:space="0" w:color="auto"/>
      </w:divBdr>
      <w:divsChild>
        <w:div w:id="456218637">
          <w:marLeft w:val="547"/>
          <w:marRight w:val="0"/>
          <w:marTop w:val="130"/>
          <w:marBottom w:val="0"/>
          <w:divBdr>
            <w:top w:val="none" w:sz="0" w:space="0" w:color="auto"/>
            <w:left w:val="none" w:sz="0" w:space="0" w:color="auto"/>
            <w:bottom w:val="none" w:sz="0" w:space="0" w:color="auto"/>
            <w:right w:val="none" w:sz="0" w:space="0" w:color="auto"/>
          </w:divBdr>
        </w:div>
        <w:div w:id="697002240">
          <w:marLeft w:val="1166"/>
          <w:marRight w:val="0"/>
          <w:marTop w:val="115"/>
          <w:marBottom w:val="0"/>
          <w:divBdr>
            <w:top w:val="none" w:sz="0" w:space="0" w:color="auto"/>
            <w:left w:val="none" w:sz="0" w:space="0" w:color="auto"/>
            <w:bottom w:val="none" w:sz="0" w:space="0" w:color="auto"/>
            <w:right w:val="none" w:sz="0" w:space="0" w:color="auto"/>
          </w:divBdr>
        </w:div>
        <w:div w:id="935863470">
          <w:marLeft w:val="1800"/>
          <w:marRight w:val="0"/>
          <w:marTop w:val="96"/>
          <w:marBottom w:val="0"/>
          <w:divBdr>
            <w:top w:val="none" w:sz="0" w:space="0" w:color="auto"/>
            <w:left w:val="none" w:sz="0" w:space="0" w:color="auto"/>
            <w:bottom w:val="none" w:sz="0" w:space="0" w:color="auto"/>
            <w:right w:val="none" w:sz="0" w:space="0" w:color="auto"/>
          </w:divBdr>
        </w:div>
        <w:div w:id="1399399500">
          <w:marLeft w:val="1166"/>
          <w:marRight w:val="0"/>
          <w:marTop w:val="115"/>
          <w:marBottom w:val="0"/>
          <w:divBdr>
            <w:top w:val="none" w:sz="0" w:space="0" w:color="auto"/>
            <w:left w:val="none" w:sz="0" w:space="0" w:color="auto"/>
            <w:bottom w:val="none" w:sz="0" w:space="0" w:color="auto"/>
            <w:right w:val="none" w:sz="0" w:space="0" w:color="auto"/>
          </w:divBdr>
        </w:div>
        <w:div w:id="1476751415">
          <w:marLeft w:val="1166"/>
          <w:marRight w:val="0"/>
          <w:marTop w:val="115"/>
          <w:marBottom w:val="0"/>
          <w:divBdr>
            <w:top w:val="none" w:sz="0" w:space="0" w:color="auto"/>
            <w:left w:val="none" w:sz="0" w:space="0" w:color="auto"/>
            <w:bottom w:val="none" w:sz="0" w:space="0" w:color="auto"/>
            <w:right w:val="none" w:sz="0" w:space="0" w:color="auto"/>
          </w:divBdr>
        </w:div>
        <w:div w:id="1502507665">
          <w:marLeft w:val="1166"/>
          <w:marRight w:val="0"/>
          <w:marTop w:val="115"/>
          <w:marBottom w:val="0"/>
          <w:divBdr>
            <w:top w:val="none" w:sz="0" w:space="0" w:color="auto"/>
            <w:left w:val="none" w:sz="0" w:space="0" w:color="auto"/>
            <w:bottom w:val="none" w:sz="0" w:space="0" w:color="auto"/>
            <w:right w:val="none" w:sz="0" w:space="0" w:color="auto"/>
          </w:divBdr>
        </w:div>
        <w:div w:id="1743331993">
          <w:marLeft w:val="1166"/>
          <w:marRight w:val="0"/>
          <w:marTop w:val="115"/>
          <w:marBottom w:val="0"/>
          <w:divBdr>
            <w:top w:val="none" w:sz="0" w:space="0" w:color="auto"/>
            <w:left w:val="none" w:sz="0" w:space="0" w:color="auto"/>
            <w:bottom w:val="none" w:sz="0" w:space="0" w:color="auto"/>
            <w:right w:val="none" w:sz="0" w:space="0" w:color="auto"/>
          </w:divBdr>
        </w:div>
        <w:div w:id="1935895734">
          <w:marLeft w:val="1166"/>
          <w:marRight w:val="0"/>
          <w:marTop w:val="115"/>
          <w:marBottom w:val="0"/>
          <w:divBdr>
            <w:top w:val="none" w:sz="0" w:space="0" w:color="auto"/>
            <w:left w:val="none" w:sz="0" w:space="0" w:color="auto"/>
            <w:bottom w:val="none" w:sz="0" w:space="0" w:color="auto"/>
            <w:right w:val="none" w:sz="0" w:space="0" w:color="auto"/>
          </w:divBdr>
        </w:div>
        <w:div w:id="2078628569">
          <w:marLeft w:val="547"/>
          <w:marRight w:val="0"/>
          <w:marTop w:val="130"/>
          <w:marBottom w:val="0"/>
          <w:divBdr>
            <w:top w:val="none" w:sz="0" w:space="0" w:color="auto"/>
            <w:left w:val="none" w:sz="0" w:space="0" w:color="auto"/>
            <w:bottom w:val="none" w:sz="0" w:space="0" w:color="auto"/>
            <w:right w:val="none" w:sz="0" w:space="0" w:color="auto"/>
          </w:divBdr>
        </w:div>
        <w:div w:id="2086685534">
          <w:marLeft w:val="1166"/>
          <w:marRight w:val="0"/>
          <w:marTop w:val="115"/>
          <w:marBottom w:val="0"/>
          <w:divBdr>
            <w:top w:val="none" w:sz="0" w:space="0" w:color="auto"/>
            <w:left w:val="none" w:sz="0" w:space="0" w:color="auto"/>
            <w:bottom w:val="none" w:sz="0" w:space="0" w:color="auto"/>
            <w:right w:val="none" w:sz="0" w:space="0" w:color="auto"/>
          </w:divBdr>
        </w:div>
      </w:divsChild>
    </w:div>
    <w:div w:id="545527268">
      <w:bodyDiv w:val="1"/>
      <w:marLeft w:val="0"/>
      <w:marRight w:val="0"/>
      <w:marTop w:val="0"/>
      <w:marBottom w:val="0"/>
      <w:divBdr>
        <w:top w:val="none" w:sz="0" w:space="0" w:color="auto"/>
        <w:left w:val="none" w:sz="0" w:space="0" w:color="auto"/>
        <w:bottom w:val="none" w:sz="0" w:space="0" w:color="auto"/>
        <w:right w:val="none" w:sz="0" w:space="0" w:color="auto"/>
      </w:divBdr>
    </w:div>
    <w:div w:id="575938117">
      <w:bodyDiv w:val="1"/>
      <w:marLeft w:val="0"/>
      <w:marRight w:val="0"/>
      <w:marTop w:val="0"/>
      <w:marBottom w:val="0"/>
      <w:divBdr>
        <w:top w:val="none" w:sz="0" w:space="0" w:color="auto"/>
        <w:left w:val="none" w:sz="0" w:space="0" w:color="auto"/>
        <w:bottom w:val="none" w:sz="0" w:space="0" w:color="auto"/>
        <w:right w:val="none" w:sz="0" w:space="0" w:color="auto"/>
      </w:divBdr>
    </w:div>
    <w:div w:id="583730388">
      <w:bodyDiv w:val="1"/>
      <w:marLeft w:val="0"/>
      <w:marRight w:val="0"/>
      <w:marTop w:val="0"/>
      <w:marBottom w:val="0"/>
      <w:divBdr>
        <w:top w:val="none" w:sz="0" w:space="0" w:color="auto"/>
        <w:left w:val="none" w:sz="0" w:space="0" w:color="auto"/>
        <w:bottom w:val="none" w:sz="0" w:space="0" w:color="auto"/>
        <w:right w:val="none" w:sz="0" w:space="0" w:color="auto"/>
      </w:divBdr>
      <w:divsChild>
        <w:div w:id="393743708">
          <w:marLeft w:val="446"/>
          <w:marRight w:val="0"/>
          <w:marTop w:val="0"/>
          <w:marBottom w:val="0"/>
          <w:divBdr>
            <w:top w:val="none" w:sz="0" w:space="0" w:color="auto"/>
            <w:left w:val="none" w:sz="0" w:space="0" w:color="auto"/>
            <w:bottom w:val="none" w:sz="0" w:space="0" w:color="auto"/>
            <w:right w:val="none" w:sz="0" w:space="0" w:color="auto"/>
          </w:divBdr>
        </w:div>
        <w:div w:id="980229555">
          <w:marLeft w:val="446"/>
          <w:marRight w:val="0"/>
          <w:marTop w:val="0"/>
          <w:marBottom w:val="0"/>
          <w:divBdr>
            <w:top w:val="none" w:sz="0" w:space="0" w:color="auto"/>
            <w:left w:val="none" w:sz="0" w:space="0" w:color="auto"/>
            <w:bottom w:val="none" w:sz="0" w:space="0" w:color="auto"/>
            <w:right w:val="none" w:sz="0" w:space="0" w:color="auto"/>
          </w:divBdr>
        </w:div>
        <w:div w:id="592856371">
          <w:marLeft w:val="1166"/>
          <w:marRight w:val="0"/>
          <w:marTop w:val="0"/>
          <w:marBottom w:val="0"/>
          <w:divBdr>
            <w:top w:val="none" w:sz="0" w:space="0" w:color="auto"/>
            <w:left w:val="none" w:sz="0" w:space="0" w:color="auto"/>
            <w:bottom w:val="none" w:sz="0" w:space="0" w:color="auto"/>
            <w:right w:val="none" w:sz="0" w:space="0" w:color="auto"/>
          </w:divBdr>
        </w:div>
        <w:div w:id="800457532">
          <w:marLeft w:val="446"/>
          <w:marRight w:val="0"/>
          <w:marTop w:val="0"/>
          <w:marBottom w:val="0"/>
          <w:divBdr>
            <w:top w:val="none" w:sz="0" w:space="0" w:color="auto"/>
            <w:left w:val="none" w:sz="0" w:space="0" w:color="auto"/>
            <w:bottom w:val="none" w:sz="0" w:space="0" w:color="auto"/>
            <w:right w:val="none" w:sz="0" w:space="0" w:color="auto"/>
          </w:divBdr>
        </w:div>
        <w:div w:id="1694067120">
          <w:marLeft w:val="446"/>
          <w:marRight w:val="0"/>
          <w:marTop w:val="0"/>
          <w:marBottom w:val="0"/>
          <w:divBdr>
            <w:top w:val="none" w:sz="0" w:space="0" w:color="auto"/>
            <w:left w:val="none" w:sz="0" w:space="0" w:color="auto"/>
            <w:bottom w:val="none" w:sz="0" w:space="0" w:color="auto"/>
            <w:right w:val="none" w:sz="0" w:space="0" w:color="auto"/>
          </w:divBdr>
        </w:div>
      </w:divsChild>
    </w:div>
    <w:div w:id="586696638">
      <w:bodyDiv w:val="1"/>
      <w:marLeft w:val="0"/>
      <w:marRight w:val="0"/>
      <w:marTop w:val="0"/>
      <w:marBottom w:val="0"/>
      <w:divBdr>
        <w:top w:val="none" w:sz="0" w:space="0" w:color="auto"/>
        <w:left w:val="none" w:sz="0" w:space="0" w:color="auto"/>
        <w:bottom w:val="none" w:sz="0" w:space="0" w:color="auto"/>
        <w:right w:val="none" w:sz="0" w:space="0" w:color="auto"/>
      </w:divBdr>
    </w:div>
    <w:div w:id="617179616">
      <w:bodyDiv w:val="1"/>
      <w:marLeft w:val="0"/>
      <w:marRight w:val="0"/>
      <w:marTop w:val="0"/>
      <w:marBottom w:val="0"/>
      <w:divBdr>
        <w:top w:val="none" w:sz="0" w:space="0" w:color="auto"/>
        <w:left w:val="none" w:sz="0" w:space="0" w:color="auto"/>
        <w:bottom w:val="none" w:sz="0" w:space="0" w:color="auto"/>
        <w:right w:val="none" w:sz="0" w:space="0" w:color="auto"/>
      </w:divBdr>
    </w:div>
    <w:div w:id="624888870">
      <w:bodyDiv w:val="1"/>
      <w:marLeft w:val="0"/>
      <w:marRight w:val="0"/>
      <w:marTop w:val="0"/>
      <w:marBottom w:val="0"/>
      <w:divBdr>
        <w:top w:val="none" w:sz="0" w:space="0" w:color="auto"/>
        <w:left w:val="none" w:sz="0" w:space="0" w:color="auto"/>
        <w:bottom w:val="none" w:sz="0" w:space="0" w:color="auto"/>
        <w:right w:val="none" w:sz="0" w:space="0" w:color="auto"/>
      </w:divBdr>
      <w:divsChild>
        <w:div w:id="427576566">
          <w:marLeft w:val="547"/>
          <w:marRight w:val="0"/>
          <w:marTop w:val="106"/>
          <w:marBottom w:val="0"/>
          <w:divBdr>
            <w:top w:val="none" w:sz="0" w:space="0" w:color="auto"/>
            <w:left w:val="none" w:sz="0" w:space="0" w:color="auto"/>
            <w:bottom w:val="none" w:sz="0" w:space="0" w:color="auto"/>
            <w:right w:val="none" w:sz="0" w:space="0" w:color="auto"/>
          </w:divBdr>
        </w:div>
        <w:div w:id="553395799">
          <w:marLeft w:val="1166"/>
          <w:marRight w:val="0"/>
          <w:marTop w:val="91"/>
          <w:marBottom w:val="0"/>
          <w:divBdr>
            <w:top w:val="none" w:sz="0" w:space="0" w:color="auto"/>
            <w:left w:val="none" w:sz="0" w:space="0" w:color="auto"/>
            <w:bottom w:val="none" w:sz="0" w:space="0" w:color="auto"/>
            <w:right w:val="none" w:sz="0" w:space="0" w:color="auto"/>
          </w:divBdr>
        </w:div>
        <w:div w:id="987629390">
          <w:marLeft w:val="1166"/>
          <w:marRight w:val="0"/>
          <w:marTop w:val="91"/>
          <w:marBottom w:val="0"/>
          <w:divBdr>
            <w:top w:val="none" w:sz="0" w:space="0" w:color="auto"/>
            <w:left w:val="none" w:sz="0" w:space="0" w:color="auto"/>
            <w:bottom w:val="none" w:sz="0" w:space="0" w:color="auto"/>
            <w:right w:val="none" w:sz="0" w:space="0" w:color="auto"/>
          </w:divBdr>
        </w:div>
        <w:div w:id="1389066302">
          <w:marLeft w:val="1166"/>
          <w:marRight w:val="0"/>
          <w:marTop w:val="91"/>
          <w:marBottom w:val="0"/>
          <w:divBdr>
            <w:top w:val="none" w:sz="0" w:space="0" w:color="auto"/>
            <w:left w:val="none" w:sz="0" w:space="0" w:color="auto"/>
            <w:bottom w:val="none" w:sz="0" w:space="0" w:color="auto"/>
            <w:right w:val="none" w:sz="0" w:space="0" w:color="auto"/>
          </w:divBdr>
        </w:div>
        <w:div w:id="1402870423">
          <w:marLeft w:val="547"/>
          <w:marRight w:val="0"/>
          <w:marTop w:val="106"/>
          <w:marBottom w:val="0"/>
          <w:divBdr>
            <w:top w:val="none" w:sz="0" w:space="0" w:color="auto"/>
            <w:left w:val="none" w:sz="0" w:space="0" w:color="auto"/>
            <w:bottom w:val="none" w:sz="0" w:space="0" w:color="auto"/>
            <w:right w:val="none" w:sz="0" w:space="0" w:color="auto"/>
          </w:divBdr>
        </w:div>
        <w:div w:id="1415397904">
          <w:marLeft w:val="547"/>
          <w:marRight w:val="0"/>
          <w:marTop w:val="106"/>
          <w:marBottom w:val="0"/>
          <w:divBdr>
            <w:top w:val="none" w:sz="0" w:space="0" w:color="auto"/>
            <w:left w:val="none" w:sz="0" w:space="0" w:color="auto"/>
            <w:bottom w:val="none" w:sz="0" w:space="0" w:color="auto"/>
            <w:right w:val="none" w:sz="0" w:space="0" w:color="auto"/>
          </w:divBdr>
        </w:div>
        <w:div w:id="1615163694">
          <w:marLeft w:val="1166"/>
          <w:marRight w:val="0"/>
          <w:marTop w:val="91"/>
          <w:marBottom w:val="0"/>
          <w:divBdr>
            <w:top w:val="none" w:sz="0" w:space="0" w:color="auto"/>
            <w:left w:val="none" w:sz="0" w:space="0" w:color="auto"/>
            <w:bottom w:val="none" w:sz="0" w:space="0" w:color="auto"/>
            <w:right w:val="none" w:sz="0" w:space="0" w:color="auto"/>
          </w:divBdr>
        </w:div>
        <w:div w:id="1775586400">
          <w:marLeft w:val="547"/>
          <w:marRight w:val="0"/>
          <w:marTop w:val="106"/>
          <w:marBottom w:val="0"/>
          <w:divBdr>
            <w:top w:val="none" w:sz="0" w:space="0" w:color="auto"/>
            <w:left w:val="none" w:sz="0" w:space="0" w:color="auto"/>
            <w:bottom w:val="none" w:sz="0" w:space="0" w:color="auto"/>
            <w:right w:val="none" w:sz="0" w:space="0" w:color="auto"/>
          </w:divBdr>
        </w:div>
        <w:div w:id="1794009073">
          <w:marLeft w:val="1800"/>
          <w:marRight w:val="0"/>
          <w:marTop w:val="72"/>
          <w:marBottom w:val="0"/>
          <w:divBdr>
            <w:top w:val="none" w:sz="0" w:space="0" w:color="auto"/>
            <w:left w:val="none" w:sz="0" w:space="0" w:color="auto"/>
            <w:bottom w:val="none" w:sz="0" w:space="0" w:color="auto"/>
            <w:right w:val="none" w:sz="0" w:space="0" w:color="auto"/>
          </w:divBdr>
        </w:div>
        <w:div w:id="1843349300">
          <w:marLeft w:val="547"/>
          <w:marRight w:val="0"/>
          <w:marTop w:val="106"/>
          <w:marBottom w:val="0"/>
          <w:divBdr>
            <w:top w:val="none" w:sz="0" w:space="0" w:color="auto"/>
            <w:left w:val="none" w:sz="0" w:space="0" w:color="auto"/>
            <w:bottom w:val="none" w:sz="0" w:space="0" w:color="auto"/>
            <w:right w:val="none" w:sz="0" w:space="0" w:color="auto"/>
          </w:divBdr>
        </w:div>
        <w:div w:id="1880317160">
          <w:marLeft w:val="1166"/>
          <w:marRight w:val="0"/>
          <w:marTop w:val="91"/>
          <w:marBottom w:val="0"/>
          <w:divBdr>
            <w:top w:val="none" w:sz="0" w:space="0" w:color="auto"/>
            <w:left w:val="none" w:sz="0" w:space="0" w:color="auto"/>
            <w:bottom w:val="none" w:sz="0" w:space="0" w:color="auto"/>
            <w:right w:val="none" w:sz="0" w:space="0" w:color="auto"/>
          </w:divBdr>
        </w:div>
        <w:div w:id="1890070660">
          <w:marLeft w:val="1166"/>
          <w:marRight w:val="0"/>
          <w:marTop w:val="91"/>
          <w:marBottom w:val="0"/>
          <w:divBdr>
            <w:top w:val="none" w:sz="0" w:space="0" w:color="auto"/>
            <w:left w:val="none" w:sz="0" w:space="0" w:color="auto"/>
            <w:bottom w:val="none" w:sz="0" w:space="0" w:color="auto"/>
            <w:right w:val="none" w:sz="0" w:space="0" w:color="auto"/>
          </w:divBdr>
        </w:div>
        <w:div w:id="1938438546">
          <w:marLeft w:val="1166"/>
          <w:marRight w:val="0"/>
          <w:marTop w:val="91"/>
          <w:marBottom w:val="0"/>
          <w:divBdr>
            <w:top w:val="none" w:sz="0" w:space="0" w:color="auto"/>
            <w:left w:val="none" w:sz="0" w:space="0" w:color="auto"/>
            <w:bottom w:val="none" w:sz="0" w:space="0" w:color="auto"/>
            <w:right w:val="none" w:sz="0" w:space="0" w:color="auto"/>
          </w:divBdr>
        </w:div>
        <w:div w:id="2066833387">
          <w:marLeft w:val="1166"/>
          <w:marRight w:val="0"/>
          <w:marTop w:val="91"/>
          <w:marBottom w:val="0"/>
          <w:divBdr>
            <w:top w:val="none" w:sz="0" w:space="0" w:color="auto"/>
            <w:left w:val="none" w:sz="0" w:space="0" w:color="auto"/>
            <w:bottom w:val="none" w:sz="0" w:space="0" w:color="auto"/>
            <w:right w:val="none" w:sz="0" w:space="0" w:color="auto"/>
          </w:divBdr>
        </w:div>
      </w:divsChild>
    </w:div>
    <w:div w:id="635374075">
      <w:bodyDiv w:val="1"/>
      <w:marLeft w:val="0"/>
      <w:marRight w:val="0"/>
      <w:marTop w:val="0"/>
      <w:marBottom w:val="0"/>
      <w:divBdr>
        <w:top w:val="none" w:sz="0" w:space="0" w:color="auto"/>
        <w:left w:val="none" w:sz="0" w:space="0" w:color="auto"/>
        <w:bottom w:val="none" w:sz="0" w:space="0" w:color="auto"/>
        <w:right w:val="none" w:sz="0" w:space="0" w:color="auto"/>
      </w:divBdr>
    </w:div>
    <w:div w:id="673339956">
      <w:bodyDiv w:val="1"/>
      <w:marLeft w:val="0"/>
      <w:marRight w:val="0"/>
      <w:marTop w:val="0"/>
      <w:marBottom w:val="0"/>
      <w:divBdr>
        <w:top w:val="none" w:sz="0" w:space="0" w:color="auto"/>
        <w:left w:val="none" w:sz="0" w:space="0" w:color="auto"/>
        <w:bottom w:val="none" w:sz="0" w:space="0" w:color="auto"/>
        <w:right w:val="none" w:sz="0" w:space="0" w:color="auto"/>
      </w:divBdr>
    </w:div>
    <w:div w:id="709376542">
      <w:bodyDiv w:val="1"/>
      <w:marLeft w:val="0"/>
      <w:marRight w:val="0"/>
      <w:marTop w:val="0"/>
      <w:marBottom w:val="0"/>
      <w:divBdr>
        <w:top w:val="none" w:sz="0" w:space="0" w:color="auto"/>
        <w:left w:val="none" w:sz="0" w:space="0" w:color="auto"/>
        <w:bottom w:val="none" w:sz="0" w:space="0" w:color="auto"/>
        <w:right w:val="none" w:sz="0" w:space="0" w:color="auto"/>
      </w:divBdr>
      <w:divsChild>
        <w:div w:id="688602067">
          <w:marLeft w:val="547"/>
          <w:marRight w:val="0"/>
          <w:marTop w:val="144"/>
          <w:marBottom w:val="0"/>
          <w:divBdr>
            <w:top w:val="none" w:sz="0" w:space="0" w:color="auto"/>
            <w:left w:val="none" w:sz="0" w:space="0" w:color="auto"/>
            <w:bottom w:val="none" w:sz="0" w:space="0" w:color="auto"/>
            <w:right w:val="none" w:sz="0" w:space="0" w:color="auto"/>
          </w:divBdr>
        </w:div>
        <w:div w:id="883518896">
          <w:marLeft w:val="547"/>
          <w:marRight w:val="0"/>
          <w:marTop w:val="144"/>
          <w:marBottom w:val="0"/>
          <w:divBdr>
            <w:top w:val="none" w:sz="0" w:space="0" w:color="auto"/>
            <w:left w:val="none" w:sz="0" w:space="0" w:color="auto"/>
            <w:bottom w:val="none" w:sz="0" w:space="0" w:color="auto"/>
            <w:right w:val="none" w:sz="0" w:space="0" w:color="auto"/>
          </w:divBdr>
        </w:div>
        <w:div w:id="1029061100">
          <w:marLeft w:val="1166"/>
          <w:marRight w:val="0"/>
          <w:marTop w:val="125"/>
          <w:marBottom w:val="0"/>
          <w:divBdr>
            <w:top w:val="none" w:sz="0" w:space="0" w:color="auto"/>
            <w:left w:val="none" w:sz="0" w:space="0" w:color="auto"/>
            <w:bottom w:val="none" w:sz="0" w:space="0" w:color="auto"/>
            <w:right w:val="none" w:sz="0" w:space="0" w:color="auto"/>
          </w:divBdr>
        </w:div>
        <w:div w:id="1329361686">
          <w:marLeft w:val="547"/>
          <w:marRight w:val="0"/>
          <w:marTop w:val="144"/>
          <w:marBottom w:val="0"/>
          <w:divBdr>
            <w:top w:val="none" w:sz="0" w:space="0" w:color="auto"/>
            <w:left w:val="none" w:sz="0" w:space="0" w:color="auto"/>
            <w:bottom w:val="none" w:sz="0" w:space="0" w:color="auto"/>
            <w:right w:val="none" w:sz="0" w:space="0" w:color="auto"/>
          </w:divBdr>
        </w:div>
        <w:div w:id="1829663680">
          <w:marLeft w:val="1166"/>
          <w:marRight w:val="0"/>
          <w:marTop w:val="125"/>
          <w:marBottom w:val="0"/>
          <w:divBdr>
            <w:top w:val="none" w:sz="0" w:space="0" w:color="auto"/>
            <w:left w:val="none" w:sz="0" w:space="0" w:color="auto"/>
            <w:bottom w:val="none" w:sz="0" w:space="0" w:color="auto"/>
            <w:right w:val="none" w:sz="0" w:space="0" w:color="auto"/>
          </w:divBdr>
        </w:div>
        <w:div w:id="1911310087">
          <w:marLeft w:val="1166"/>
          <w:marRight w:val="0"/>
          <w:marTop w:val="125"/>
          <w:marBottom w:val="0"/>
          <w:divBdr>
            <w:top w:val="none" w:sz="0" w:space="0" w:color="auto"/>
            <w:left w:val="none" w:sz="0" w:space="0" w:color="auto"/>
            <w:bottom w:val="none" w:sz="0" w:space="0" w:color="auto"/>
            <w:right w:val="none" w:sz="0" w:space="0" w:color="auto"/>
          </w:divBdr>
        </w:div>
      </w:divsChild>
    </w:div>
    <w:div w:id="712196899">
      <w:bodyDiv w:val="1"/>
      <w:marLeft w:val="0"/>
      <w:marRight w:val="0"/>
      <w:marTop w:val="0"/>
      <w:marBottom w:val="0"/>
      <w:divBdr>
        <w:top w:val="none" w:sz="0" w:space="0" w:color="auto"/>
        <w:left w:val="none" w:sz="0" w:space="0" w:color="auto"/>
        <w:bottom w:val="none" w:sz="0" w:space="0" w:color="auto"/>
        <w:right w:val="none" w:sz="0" w:space="0" w:color="auto"/>
      </w:divBdr>
      <w:divsChild>
        <w:div w:id="461313800">
          <w:marLeft w:val="547"/>
          <w:marRight w:val="0"/>
          <w:marTop w:val="106"/>
          <w:marBottom w:val="0"/>
          <w:divBdr>
            <w:top w:val="none" w:sz="0" w:space="0" w:color="auto"/>
            <w:left w:val="none" w:sz="0" w:space="0" w:color="auto"/>
            <w:bottom w:val="none" w:sz="0" w:space="0" w:color="auto"/>
            <w:right w:val="none" w:sz="0" w:space="0" w:color="auto"/>
          </w:divBdr>
        </w:div>
        <w:div w:id="677655246">
          <w:marLeft w:val="547"/>
          <w:marRight w:val="0"/>
          <w:marTop w:val="106"/>
          <w:marBottom w:val="0"/>
          <w:divBdr>
            <w:top w:val="none" w:sz="0" w:space="0" w:color="auto"/>
            <w:left w:val="none" w:sz="0" w:space="0" w:color="auto"/>
            <w:bottom w:val="none" w:sz="0" w:space="0" w:color="auto"/>
            <w:right w:val="none" w:sz="0" w:space="0" w:color="auto"/>
          </w:divBdr>
        </w:div>
        <w:div w:id="978656293">
          <w:marLeft w:val="547"/>
          <w:marRight w:val="0"/>
          <w:marTop w:val="106"/>
          <w:marBottom w:val="0"/>
          <w:divBdr>
            <w:top w:val="none" w:sz="0" w:space="0" w:color="auto"/>
            <w:left w:val="none" w:sz="0" w:space="0" w:color="auto"/>
            <w:bottom w:val="none" w:sz="0" w:space="0" w:color="auto"/>
            <w:right w:val="none" w:sz="0" w:space="0" w:color="auto"/>
          </w:divBdr>
        </w:div>
        <w:div w:id="1376346764">
          <w:marLeft w:val="547"/>
          <w:marRight w:val="0"/>
          <w:marTop w:val="106"/>
          <w:marBottom w:val="0"/>
          <w:divBdr>
            <w:top w:val="none" w:sz="0" w:space="0" w:color="auto"/>
            <w:left w:val="none" w:sz="0" w:space="0" w:color="auto"/>
            <w:bottom w:val="none" w:sz="0" w:space="0" w:color="auto"/>
            <w:right w:val="none" w:sz="0" w:space="0" w:color="auto"/>
          </w:divBdr>
        </w:div>
        <w:div w:id="1799060756">
          <w:marLeft w:val="547"/>
          <w:marRight w:val="0"/>
          <w:marTop w:val="106"/>
          <w:marBottom w:val="0"/>
          <w:divBdr>
            <w:top w:val="none" w:sz="0" w:space="0" w:color="auto"/>
            <w:left w:val="none" w:sz="0" w:space="0" w:color="auto"/>
            <w:bottom w:val="none" w:sz="0" w:space="0" w:color="auto"/>
            <w:right w:val="none" w:sz="0" w:space="0" w:color="auto"/>
          </w:divBdr>
        </w:div>
      </w:divsChild>
    </w:div>
    <w:div w:id="736244439">
      <w:bodyDiv w:val="1"/>
      <w:marLeft w:val="0"/>
      <w:marRight w:val="0"/>
      <w:marTop w:val="0"/>
      <w:marBottom w:val="0"/>
      <w:divBdr>
        <w:top w:val="none" w:sz="0" w:space="0" w:color="auto"/>
        <w:left w:val="none" w:sz="0" w:space="0" w:color="auto"/>
        <w:bottom w:val="none" w:sz="0" w:space="0" w:color="auto"/>
        <w:right w:val="none" w:sz="0" w:space="0" w:color="auto"/>
      </w:divBdr>
      <w:divsChild>
        <w:div w:id="695927876">
          <w:marLeft w:val="1166"/>
          <w:marRight w:val="0"/>
          <w:marTop w:val="125"/>
          <w:marBottom w:val="0"/>
          <w:divBdr>
            <w:top w:val="none" w:sz="0" w:space="0" w:color="auto"/>
            <w:left w:val="none" w:sz="0" w:space="0" w:color="auto"/>
            <w:bottom w:val="none" w:sz="0" w:space="0" w:color="auto"/>
            <w:right w:val="none" w:sz="0" w:space="0" w:color="auto"/>
          </w:divBdr>
        </w:div>
        <w:div w:id="941956282">
          <w:marLeft w:val="1166"/>
          <w:marRight w:val="0"/>
          <w:marTop w:val="125"/>
          <w:marBottom w:val="0"/>
          <w:divBdr>
            <w:top w:val="none" w:sz="0" w:space="0" w:color="auto"/>
            <w:left w:val="none" w:sz="0" w:space="0" w:color="auto"/>
            <w:bottom w:val="none" w:sz="0" w:space="0" w:color="auto"/>
            <w:right w:val="none" w:sz="0" w:space="0" w:color="auto"/>
          </w:divBdr>
        </w:div>
        <w:div w:id="1551646063">
          <w:marLeft w:val="547"/>
          <w:marRight w:val="0"/>
          <w:marTop w:val="144"/>
          <w:marBottom w:val="0"/>
          <w:divBdr>
            <w:top w:val="none" w:sz="0" w:space="0" w:color="auto"/>
            <w:left w:val="none" w:sz="0" w:space="0" w:color="auto"/>
            <w:bottom w:val="none" w:sz="0" w:space="0" w:color="auto"/>
            <w:right w:val="none" w:sz="0" w:space="0" w:color="auto"/>
          </w:divBdr>
        </w:div>
        <w:div w:id="1558783255">
          <w:marLeft w:val="1166"/>
          <w:marRight w:val="0"/>
          <w:marTop w:val="125"/>
          <w:marBottom w:val="0"/>
          <w:divBdr>
            <w:top w:val="none" w:sz="0" w:space="0" w:color="auto"/>
            <w:left w:val="none" w:sz="0" w:space="0" w:color="auto"/>
            <w:bottom w:val="none" w:sz="0" w:space="0" w:color="auto"/>
            <w:right w:val="none" w:sz="0" w:space="0" w:color="auto"/>
          </w:divBdr>
        </w:div>
      </w:divsChild>
    </w:div>
    <w:div w:id="740980490">
      <w:bodyDiv w:val="1"/>
      <w:marLeft w:val="0"/>
      <w:marRight w:val="0"/>
      <w:marTop w:val="0"/>
      <w:marBottom w:val="0"/>
      <w:divBdr>
        <w:top w:val="none" w:sz="0" w:space="0" w:color="auto"/>
        <w:left w:val="none" w:sz="0" w:space="0" w:color="auto"/>
        <w:bottom w:val="none" w:sz="0" w:space="0" w:color="auto"/>
        <w:right w:val="none" w:sz="0" w:space="0" w:color="auto"/>
      </w:divBdr>
      <w:divsChild>
        <w:div w:id="25060295">
          <w:marLeft w:val="1498"/>
          <w:marRight w:val="0"/>
          <w:marTop w:val="91"/>
          <w:marBottom w:val="0"/>
          <w:divBdr>
            <w:top w:val="none" w:sz="0" w:space="0" w:color="auto"/>
            <w:left w:val="none" w:sz="0" w:space="0" w:color="auto"/>
            <w:bottom w:val="none" w:sz="0" w:space="0" w:color="auto"/>
            <w:right w:val="none" w:sz="0" w:space="0" w:color="auto"/>
          </w:divBdr>
        </w:div>
        <w:div w:id="147022869">
          <w:marLeft w:val="1498"/>
          <w:marRight w:val="0"/>
          <w:marTop w:val="91"/>
          <w:marBottom w:val="0"/>
          <w:divBdr>
            <w:top w:val="none" w:sz="0" w:space="0" w:color="auto"/>
            <w:left w:val="none" w:sz="0" w:space="0" w:color="auto"/>
            <w:bottom w:val="none" w:sz="0" w:space="0" w:color="auto"/>
            <w:right w:val="none" w:sz="0" w:space="0" w:color="auto"/>
          </w:divBdr>
        </w:div>
        <w:div w:id="556740392">
          <w:marLeft w:val="720"/>
          <w:marRight w:val="0"/>
          <w:marTop w:val="125"/>
          <w:marBottom w:val="0"/>
          <w:divBdr>
            <w:top w:val="none" w:sz="0" w:space="0" w:color="auto"/>
            <w:left w:val="none" w:sz="0" w:space="0" w:color="auto"/>
            <w:bottom w:val="none" w:sz="0" w:space="0" w:color="auto"/>
            <w:right w:val="none" w:sz="0" w:space="0" w:color="auto"/>
          </w:divBdr>
        </w:div>
        <w:div w:id="655383613">
          <w:marLeft w:val="720"/>
          <w:marRight w:val="0"/>
          <w:marTop w:val="125"/>
          <w:marBottom w:val="0"/>
          <w:divBdr>
            <w:top w:val="none" w:sz="0" w:space="0" w:color="auto"/>
            <w:left w:val="none" w:sz="0" w:space="0" w:color="auto"/>
            <w:bottom w:val="none" w:sz="0" w:space="0" w:color="auto"/>
            <w:right w:val="none" w:sz="0" w:space="0" w:color="auto"/>
          </w:divBdr>
        </w:div>
        <w:div w:id="895162418">
          <w:marLeft w:val="1498"/>
          <w:marRight w:val="0"/>
          <w:marTop w:val="91"/>
          <w:marBottom w:val="0"/>
          <w:divBdr>
            <w:top w:val="none" w:sz="0" w:space="0" w:color="auto"/>
            <w:left w:val="none" w:sz="0" w:space="0" w:color="auto"/>
            <w:bottom w:val="none" w:sz="0" w:space="0" w:color="auto"/>
            <w:right w:val="none" w:sz="0" w:space="0" w:color="auto"/>
          </w:divBdr>
        </w:div>
        <w:div w:id="1223562269">
          <w:marLeft w:val="907"/>
          <w:marRight w:val="0"/>
          <w:marTop w:val="106"/>
          <w:marBottom w:val="0"/>
          <w:divBdr>
            <w:top w:val="none" w:sz="0" w:space="0" w:color="auto"/>
            <w:left w:val="none" w:sz="0" w:space="0" w:color="auto"/>
            <w:bottom w:val="none" w:sz="0" w:space="0" w:color="auto"/>
            <w:right w:val="none" w:sz="0" w:space="0" w:color="auto"/>
          </w:divBdr>
        </w:div>
        <w:div w:id="1284262732">
          <w:marLeft w:val="907"/>
          <w:marRight w:val="0"/>
          <w:marTop w:val="106"/>
          <w:marBottom w:val="0"/>
          <w:divBdr>
            <w:top w:val="none" w:sz="0" w:space="0" w:color="auto"/>
            <w:left w:val="none" w:sz="0" w:space="0" w:color="auto"/>
            <w:bottom w:val="none" w:sz="0" w:space="0" w:color="auto"/>
            <w:right w:val="none" w:sz="0" w:space="0" w:color="auto"/>
          </w:divBdr>
        </w:div>
        <w:div w:id="1663001710">
          <w:marLeft w:val="907"/>
          <w:marRight w:val="0"/>
          <w:marTop w:val="106"/>
          <w:marBottom w:val="0"/>
          <w:divBdr>
            <w:top w:val="none" w:sz="0" w:space="0" w:color="auto"/>
            <w:left w:val="none" w:sz="0" w:space="0" w:color="auto"/>
            <w:bottom w:val="none" w:sz="0" w:space="0" w:color="auto"/>
            <w:right w:val="none" w:sz="0" w:space="0" w:color="auto"/>
          </w:divBdr>
        </w:div>
        <w:div w:id="1879932213">
          <w:marLeft w:val="907"/>
          <w:marRight w:val="0"/>
          <w:marTop w:val="106"/>
          <w:marBottom w:val="0"/>
          <w:divBdr>
            <w:top w:val="none" w:sz="0" w:space="0" w:color="auto"/>
            <w:left w:val="none" w:sz="0" w:space="0" w:color="auto"/>
            <w:bottom w:val="none" w:sz="0" w:space="0" w:color="auto"/>
            <w:right w:val="none" w:sz="0" w:space="0" w:color="auto"/>
          </w:divBdr>
        </w:div>
      </w:divsChild>
    </w:div>
    <w:div w:id="756362877">
      <w:bodyDiv w:val="1"/>
      <w:marLeft w:val="0"/>
      <w:marRight w:val="0"/>
      <w:marTop w:val="0"/>
      <w:marBottom w:val="0"/>
      <w:divBdr>
        <w:top w:val="none" w:sz="0" w:space="0" w:color="auto"/>
        <w:left w:val="none" w:sz="0" w:space="0" w:color="auto"/>
        <w:bottom w:val="none" w:sz="0" w:space="0" w:color="auto"/>
        <w:right w:val="none" w:sz="0" w:space="0" w:color="auto"/>
      </w:divBdr>
    </w:div>
    <w:div w:id="769668585">
      <w:bodyDiv w:val="1"/>
      <w:marLeft w:val="0"/>
      <w:marRight w:val="0"/>
      <w:marTop w:val="0"/>
      <w:marBottom w:val="0"/>
      <w:divBdr>
        <w:top w:val="none" w:sz="0" w:space="0" w:color="auto"/>
        <w:left w:val="none" w:sz="0" w:space="0" w:color="auto"/>
        <w:bottom w:val="none" w:sz="0" w:space="0" w:color="auto"/>
        <w:right w:val="none" w:sz="0" w:space="0" w:color="auto"/>
      </w:divBdr>
      <w:divsChild>
        <w:div w:id="428545754">
          <w:marLeft w:val="547"/>
          <w:marRight w:val="0"/>
          <w:marTop w:val="106"/>
          <w:marBottom w:val="0"/>
          <w:divBdr>
            <w:top w:val="none" w:sz="0" w:space="0" w:color="auto"/>
            <w:left w:val="none" w:sz="0" w:space="0" w:color="auto"/>
            <w:bottom w:val="none" w:sz="0" w:space="0" w:color="auto"/>
            <w:right w:val="none" w:sz="0" w:space="0" w:color="auto"/>
          </w:divBdr>
        </w:div>
        <w:div w:id="1376664448">
          <w:marLeft w:val="547"/>
          <w:marRight w:val="0"/>
          <w:marTop w:val="106"/>
          <w:marBottom w:val="0"/>
          <w:divBdr>
            <w:top w:val="none" w:sz="0" w:space="0" w:color="auto"/>
            <w:left w:val="none" w:sz="0" w:space="0" w:color="auto"/>
            <w:bottom w:val="none" w:sz="0" w:space="0" w:color="auto"/>
            <w:right w:val="none" w:sz="0" w:space="0" w:color="auto"/>
          </w:divBdr>
        </w:div>
        <w:div w:id="1377504716">
          <w:marLeft w:val="547"/>
          <w:marRight w:val="0"/>
          <w:marTop w:val="106"/>
          <w:marBottom w:val="0"/>
          <w:divBdr>
            <w:top w:val="none" w:sz="0" w:space="0" w:color="auto"/>
            <w:left w:val="none" w:sz="0" w:space="0" w:color="auto"/>
            <w:bottom w:val="none" w:sz="0" w:space="0" w:color="auto"/>
            <w:right w:val="none" w:sz="0" w:space="0" w:color="auto"/>
          </w:divBdr>
        </w:div>
        <w:div w:id="1493138201">
          <w:marLeft w:val="547"/>
          <w:marRight w:val="0"/>
          <w:marTop w:val="106"/>
          <w:marBottom w:val="0"/>
          <w:divBdr>
            <w:top w:val="none" w:sz="0" w:space="0" w:color="auto"/>
            <w:left w:val="none" w:sz="0" w:space="0" w:color="auto"/>
            <w:bottom w:val="none" w:sz="0" w:space="0" w:color="auto"/>
            <w:right w:val="none" w:sz="0" w:space="0" w:color="auto"/>
          </w:divBdr>
        </w:div>
        <w:div w:id="1959219817">
          <w:marLeft w:val="547"/>
          <w:marRight w:val="0"/>
          <w:marTop w:val="106"/>
          <w:marBottom w:val="0"/>
          <w:divBdr>
            <w:top w:val="none" w:sz="0" w:space="0" w:color="auto"/>
            <w:left w:val="none" w:sz="0" w:space="0" w:color="auto"/>
            <w:bottom w:val="none" w:sz="0" w:space="0" w:color="auto"/>
            <w:right w:val="none" w:sz="0" w:space="0" w:color="auto"/>
          </w:divBdr>
        </w:div>
      </w:divsChild>
    </w:div>
    <w:div w:id="780950766">
      <w:bodyDiv w:val="1"/>
      <w:marLeft w:val="0"/>
      <w:marRight w:val="0"/>
      <w:marTop w:val="0"/>
      <w:marBottom w:val="0"/>
      <w:divBdr>
        <w:top w:val="none" w:sz="0" w:space="0" w:color="auto"/>
        <w:left w:val="none" w:sz="0" w:space="0" w:color="auto"/>
        <w:bottom w:val="none" w:sz="0" w:space="0" w:color="auto"/>
        <w:right w:val="none" w:sz="0" w:space="0" w:color="auto"/>
      </w:divBdr>
      <w:divsChild>
        <w:div w:id="557591257">
          <w:marLeft w:val="1166"/>
          <w:marRight w:val="0"/>
          <w:marTop w:val="125"/>
          <w:marBottom w:val="0"/>
          <w:divBdr>
            <w:top w:val="none" w:sz="0" w:space="0" w:color="auto"/>
            <w:left w:val="none" w:sz="0" w:space="0" w:color="auto"/>
            <w:bottom w:val="none" w:sz="0" w:space="0" w:color="auto"/>
            <w:right w:val="none" w:sz="0" w:space="0" w:color="auto"/>
          </w:divBdr>
        </w:div>
        <w:div w:id="748622689">
          <w:marLeft w:val="1166"/>
          <w:marRight w:val="0"/>
          <w:marTop w:val="125"/>
          <w:marBottom w:val="0"/>
          <w:divBdr>
            <w:top w:val="none" w:sz="0" w:space="0" w:color="auto"/>
            <w:left w:val="none" w:sz="0" w:space="0" w:color="auto"/>
            <w:bottom w:val="none" w:sz="0" w:space="0" w:color="auto"/>
            <w:right w:val="none" w:sz="0" w:space="0" w:color="auto"/>
          </w:divBdr>
        </w:div>
        <w:div w:id="752774164">
          <w:marLeft w:val="547"/>
          <w:marRight w:val="0"/>
          <w:marTop w:val="144"/>
          <w:marBottom w:val="0"/>
          <w:divBdr>
            <w:top w:val="none" w:sz="0" w:space="0" w:color="auto"/>
            <w:left w:val="none" w:sz="0" w:space="0" w:color="auto"/>
            <w:bottom w:val="none" w:sz="0" w:space="0" w:color="auto"/>
            <w:right w:val="none" w:sz="0" w:space="0" w:color="auto"/>
          </w:divBdr>
        </w:div>
        <w:div w:id="824247764">
          <w:marLeft w:val="547"/>
          <w:marRight w:val="0"/>
          <w:marTop w:val="144"/>
          <w:marBottom w:val="0"/>
          <w:divBdr>
            <w:top w:val="none" w:sz="0" w:space="0" w:color="auto"/>
            <w:left w:val="none" w:sz="0" w:space="0" w:color="auto"/>
            <w:bottom w:val="none" w:sz="0" w:space="0" w:color="auto"/>
            <w:right w:val="none" w:sz="0" w:space="0" w:color="auto"/>
          </w:divBdr>
        </w:div>
        <w:div w:id="873081425">
          <w:marLeft w:val="547"/>
          <w:marRight w:val="0"/>
          <w:marTop w:val="144"/>
          <w:marBottom w:val="0"/>
          <w:divBdr>
            <w:top w:val="none" w:sz="0" w:space="0" w:color="auto"/>
            <w:left w:val="none" w:sz="0" w:space="0" w:color="auto"/>
            <w:bottom w:val="none" w:sz="0" w:space="0" w:color="auto"/>
            <w:right w:val="none" w:sz="0" w:space="0" w:color="auto"/>
          </w:divBdr>
        </w:div>
        <w:div w:id="1171874628">
          <w:marLeft w:val="547"/>
          <w:marRight w:val="0"/>
          <w:marTop w:val="144"/>
          <w:marBottom w:val="0"/>
          <w:divBdr>
            <w:top w:val="none" w:sz="0" w:space="0" w:color="auto"/>
            <w:left w:val="none" w:sz="0" w:space="0" w:color="auto"/>
            <w:bottom w:val="none" w:sz="0" w:space="0" w:color="auto"/>
            <w:right w:val="none" w:sz="0" w:space="0" w:color="auto"/>
          </w:divBdr>
        </w:div>
        <w:div w:id="1306273453">
          <w:marLeft w:val="1166"/>
          <w:marRight w:val="0"/>
          <w:marTop w:val="125"/>
          <w:marBottom w:val="0"/>
          <w:divBdr>
            <w:top w:val="none" w:sz="0" w:space="0" w:color="auto"/>
            <w:left w:val="none" w:sz="0" w:space="0" w:color="auto"/>
            <w:bottom w:val="none" w:sz="0" w:space="0" w:color="auto"/>
            <w:right w:val="none" w:sz="0" w:space="0" w:color="auto"/>
          </w:divBdr>
        </w:div>
      </w:divsChild>
    </w:div>
    <w:div w:id="786698747">
      <w:bodyDiv w:val="1"/>
      <w:marLeft w:val="0"/>
      <w:marRight w:val="0"/>
      <w:marTop w:val="0"/>
      <w:marBottom w:val="0"/>
      <w:divBdr>
        <w:top w:val="none" w:sz="0" w:space="0" w:color="auto"/>
        <w:left w:val="none" w:sz="0" w:space="0" w:color="auto"/>
        <w:bottom w:val="none" w:sz="0" w:space="0" w:color="auto"/>
        <w:right w:val="none" w:sz="0" w:space="0" w:color="auto"/>
      </w:divBdr>
      <w:divsChild>
        <w:div w:id="1109467977">
          <w:marLeft w:val="274"/>
          <w:marRight w:val="0"/>
          <w:marTop w:val="0"/>
          <w:marBottom w:val="100"/>
          <w:divBdr>
            <w:top w:val="none" w:sz="0" w:space="0" w:color="auto"/>
            <w:left w:val="none" w:sz="0" w:space="0" w:color="auto"/>
            <w:bottom w:val="none" w:sz="0" w:space="0" w:color="auto"/>
            <w:right w:val="none" w:sz="0" w:space="0" w:color="auto"/>
          </w:divBdr>
        </w:div>
        <w:div w:id="1779444387">
          <w:marLeft w:val="274"/>
          <w:marRight w:val="0"/>
          <w:marTop w:val="0"/>
          <w:marBottom w:val="100"/>
          <w:divBdr>
            <w:top w:val="none" w:sz="0" w:space="0" w:color="auto"/>
            <w:left w:val="none" w:sz="0" w:space="0" w:color="auto"/>
            <w:bottom w:val="none" w:sz="0" w:space="0" w:color="auto"/>
            <w:right w:val="none" w:sz="0" w:space="0" w:color="auto"/>
          </w:divBdr>
        </w:div>
      </w:divsChild>
    </w:div>
    <w:div w:id="791510686">
      <w:bodyDiv w:val="1"/>
      <w:marLeft w:val="0"/>
      <w:marRight w:val="0"/>
      <w:marTop w:val="0"/>
      <w:marBottom w:val="0"/>
      <w:divBdr>
        <w:top w:val="none" w:sz="0" w:space="0" w:color="auto"/>
        <w:left w:val="none" w:sz="0" w:space="0" w:color="auto"/>
        <w:bottom w:val="none" w:sz="0" w:space="0" w:color="auto"/>
        <w:right w:val="none" w:sz="0" w:space="0" w:color="auto"/>
      </w:divBdr>
    </w:div>
    <w:div w:id="796685169">
      <w:bodyDiv w:val="1"/>
      <w:marLeft w:val="0"/>
      <w:marRight w:val="0"/>
      <w:marTop w:val="0"/>
      <w:marBottom w:val="0"/>
      <w:divBdr>
        <w:top w:val="none" w:sz="0" w:space="0" w:color="auto"/>
        <w:left w:val="none" w:sz="0" w:space="0" w:color="auto"/>
        <w:bottom w:val="none" w:sz="0" w:space="0" w:color="auto"/>
        <w:right w:val="none" w:sz="0" w:space="0" w:color="auto"/>
      </w:divBdr>
    </w:div>
    <w:div w:id="801728751">
      <w:bodyDiv w:val="1"/>
      <w:marLeft w:val="0"/>
      <w:marRight w:val="0"/>
      <w:marTop w:val="0"/>
      <w:marBottom w:val="0"/>
      <w:divBdr>
        <w:top w:val="none" w:sz="0" w:space="0" w:color="auto"/>
        <w:left w:val="none" w:sz="0" w:space="0" w:color="auto"/>
        <w:bottom w:val="none" w:sz="0" w:space="0" w:color="auto"/>
        <w:right w:val="none" w:sz="0" w:space="0" w:color="auto"/>
      </w:divBdr>
    </w:div>
    <w:div w:id="815879043">
      <w:bodyDiv w:val="1"/>
      <w:marLeft w:val="0"/>
      <w:marRight w:val="0"/>
      <w:marTop w:val="0"/>
      <w:marBottom w:val="0"/>
      <w:divBdr>
        <w:top w:val="none" w:sz="0" w:space="0" w:color="auto"/>
        <w:left w:val="none" w:sz="0" w:space="0" w:color="auto"/>
        <w:bottom w:val="none" w:sz="0" w:space="0" w:color="auto"/>
        <w:right w:val="none" w:sz="0" w:space="0" w:color="auto"/>
      </w:divBdr>
    </w:div>
    <w:div w:id="817651142">
      <w:bodyDiv w:val="1"/>
      <w:marLeft w:val="0"/>
      <w:marRight w:val="0"/>
      <w:marTop w:val="0"/>
      <w:marBottom w:val="0"/>
      <w:divBdr>
        <w:top w:val="none" w:sz="0" w:space="0" w:color="auto"/>
        <w:left w:val="none" w:sz="0" w:space="0" w:color="auto"/>
        <w:bottom w:val="none" w:sz="0" w:space="0" w:color="auto"/>
        <w:right w:val="none" w:sz="0" w:space="0" w:color="auto"/>
      </w:divBdr>
      <w:divsChild>
        <w:div w:id="490675764">
          <w:marLeft w:val="547"/>
          <w:marRight w:val="0"/>
          <w:marTop w:val="106"/>
          <w:marBottom w:val="0"/>
          <w:divBdr>
            <w:top w:val="none" w:sz="0" w:space="0" w:color="auto"/>
            <w:left w:val="none" w:sz="0" w:space="0" w:color="auto"/>
            <w:bottom w:val="none" w:sz="0" w:space="0" w:color="auto"/>
            <w:right w:val="none" w:sz="0" w:space="0" w:color="auto"/>
          </w:divBdr>
        </w:div>
        <w:div w:id="630092687">
          <w:marLeft w:val="1166"/>
          <w:marRight w:val="0"/>
          <w:marTop w:val="106"/>
          <w:marBottom w:val="0"/>
          <w:divBdr>
            <w:top w:val="none" w:sz="0" w:space="0" w:color="auto"/>
            <w:left w:val="none" w:sz="0" w:space="0" w:color="auto"/>
            <w:bottom w:val="none" w:sz="0" w:space="0" w:color="auto"/>
            <w:right w:val="none" w:sz="0" w:space="0" w:color="auto"/>
          </w:divBdr>
        </w:div>
        <w:div w:id="1252667723">
          <w:marLeft w:val="547"/>
          <w:marRight w:val="0"/>
          <w:marTop w:val="106"/>
          <w:marBottom w:val="0"/>
          <w:divBdr>
            <w:top w:val="none" w:sz="0" w:space="0" w:color="auto"/>
            <w:left w:val="none" w:sz="0" w:space="0" w:color="auto"/>
            <w:bottom w:val="none" w:sz="0" w:space="0" w:color="auto"/>
            <w:right w:val="none" w:sz="0" w:space="0" w:color="auto"/>
          </w:divBdr>
        </w:div>
        <w:div w:id="1377781225">
          <w:marLeft w:val="547"/>
          <w:marRight w:val="0"/>
          <w:marTop w:val="106"/>
          <w:marBottom w:val="0"/>
          <w:divBdr>
            <w:top w:val="none" w:sz="0" w:space="0" w:color="auto"/>
            <w:left w:val="none" w:sz="0" w:space="0" w:color="auto"/>
            <w:bottom w:val="none" w:sz="0" w:space="0" w:color="auto"/>
            <w:right w:val="none" w:sz="0" w:space="0" w:color="auto"/>
          </w:divBdr>
        </w:div>
        <w:div w:id="1832914984">
          <w:marLeft w:val="547"/>
          <w:marRight w:val="0"/>
          <w:marTop w:val="106"/>
          <w:marBottom w:val="0"/>
          <w:divBdr>
            <w:top w:val="none" w:sz="0" w:space="0" w:color="auto"/>
            <w:left w:val="none" w:sz="0" w:space="0" w:color="auto"/>
            <w:bottom w:val="none" w:sz="0" w:space="0" w:color="auto"/>
            <w:right w:val="none" w:sz="0" w:space="0" w:color="auto"/>
          </w:divBdr>
        </w:div>
        <w:div w:id="1833983867">
          <w:marLeft w:val="1166"/>
          <w:marRight w:val="0"/>
          <w:marTop w:val="106"/>
          <w:marBottom w:val="0"/>
          <w:divBdr>
            <w:top w:val="none" w:sz="0" w:space="0" w:color="auto"/>
            <w:left w:val="none" w:sz="0" w:space="0" w:color="auto"/>
            <w:bottom w:val="none" w:sz="0" w:space="0" w:color="auto"/>
            <w:right w:val="none" w:sz="0" w:space="0" w:color="auto"/>
          </w:divBdr>
        </w:div>
        <w:div w:id="1856917808">
          <w:marLeft w:val="1166"/>
          <w:marRight w:val="0"/>
          <w:marTop w:val="106"/>
          <w:marBottom w:val="0"/>
          <w:divBdr>
            <w:top w:val="none" w:sz="0" w:space="0" w:color="auto"/>
            <w:left w:val="none" w:sz="0" w:space="0" w:color="auto"/>
            <w:bottom w:val="none" w:sz="0" w:space="0" w:color="auto"/>
            <w:right w:val="none" w:sz="0" w:space="0" w:color="auto"/>
          </w:divBdr>
        </w:div>
        <w:div w:id="2046832294">
          <w:marLeft w:val="547"/>
          <w:marRight w:val="0"/>
          <w:marTop w:val="106"/>
          <w:marBottom w:val="0"/>
          <w:divBdr>
            <w:top w:val="none" w:sz="0" w:space="0" w:color="auto"/>
            <w:left w:val="none" w:sz="0" w:space="0" w:color="auto"/>
            <w:bottom w:val="none" w:sz="0" w:space="0" w:color="auto"/>
            <w:right w:val="none" w:sz="0" w:space="0" w:color="auto"/>
          </w:divBdr>
        </w:div>
      </w:divsChild>
    </w:div>
    <w:div w:id="825627279">
      <w:bodyDiv w:val="1"/>
      <w:marLeft w:val="0"/>
      <w:marRight w:val="0"/>
      <w:marTop w:val="0"/>
      <w:marBottom w:val="0"/>
      <w:divBdr>
        <w:top w:val="none" w:sz="0" w:space="0" w:color="auto"/>
        <w:left w:val="none" w:sz="0" w:space="0" w:color="auto"/>
        <w:bottom w:val="none" w:sz="0" w:space="0" w:color="auto"/>
        <w:right w:val="none" w:sz="0" w:space="0" w:color="auto"/>
      </w:divBdr>
    </w:div>
    <w:div w:id="834418407">
      <w:bodyDiv w:val="1"/>
      <w:marLeft w:val="0"/>
      <w:marRight w:val="0"/>
      <w:marTop w:val="0"/>
      <w:marBottom w:val="0"/>
      <w:divBdr>
        <w:top w:val="none" w:sz="0" w:space="0" w:color="auto"/>
        <w:left w:val="none" w:sz="0" w:space="0" w:color="auto"/>
        <w:bottom w:val="none" w:sz="0" w:space="0" w:color="auto"/>
        <w:right w:val="none" w:sz="0" w:space="0" w:color="auto"/>
      </w:divBdr>
    </w:div>
    <w:div w:id="847909145">
      <w:bodyDiv w:val="1"/>
      <w:marLeft w:val="0"/>
      <w:marRight w:val="0"/>
      <w:marTop w:val="0"/>
      <w:marBottom w:val="0"/>
      <w:divBdr>
        <w:top w:val="none" w:sz="0" w:space="0" w:color="auto"/>
        <w:left w:val="none" w:sz="0" w:space="0" w:color="auto"/>
        <w:bottom w:val="none" w:sz="0" w:space="0" w:color="auto"/>
        <w:right w:val="none" w:sz="0" w:space="0" w:color="auto"/>
      </w:divBdr>
    </w:div>
    <w:div w:id="856819691">
      <w:bodyDiv w:val="1"/>
      <w:marLeft w:val="0"/>
      <w:marRight w:val="0"/>
      <w:marTop w:val="0"/>
      <w:marBottom w:val="0"/>
      <w:divBdr>
        <w:top w:val="none" w:sz="0" w:space="0" w:color="auto"/>
        <w:left w:val="none" w:sz="0" w:space="0" w:color="auto"/>
        <w:bottom w:val="none" w:sz="0" w:space="0" w:color="auto"/>
        <w:right w:val="none" w:sz="0" w:space="0" w:color="auto"/>
      </w:divBdr>
    </w:div>
    <w:div w:id="860893993">
      <w:bodyDiv w:val="1"/>
      <w:marLeft w:val="0"/>
      <w:marRight w:val="0"/>
      <w:marTop w:val="0"/>
      <w:marBottom w:val="0"/>
      <w:divBdr>
        <w:top w:val="none" w:sz="0" w:space="0" w:color="auto"/>
        <w:left w:val="none" w:sz="0" w:space="0" w:color="auto"/>
        <w:bottom w:val="none" w:sz="0" w:space="0" w:color="auto"/>
        <w:right w:val="none" w:sz="0" w:space="0" w:color="auto"/>
      </w:divBdr>
      <w:divsChild>
        <w:div w:id="561721034">
          <w:marLeft w:val="547"/>
          <w:marRight w:val="0"/>
          <w:marTop w:val="120"/>
          <w:marBottom w:val="0"/>
          <w:divBdr>
            <w:top w:val="none" w:sz="0" w:space="0" w:color="auto"/>
            <w:left w:val="none" w:sz="0" w:space="0" w:color="auto"/>
            <w:bottom w:val="none" w:sz="0" w:space="0" w:color="auto"/>
            <w:right w:val="none" w:sz="0" w:space="0" w:color="auto"/>
          </w:divBdr>
        </w:div>
        <w:div w:id="644818497">
          <w:marLeft w:val="547"/>
          <w:marRight w:val="0"/>
          <w:marTop w:val="120"/>
          <w:marBottom w:val="0"/>
          <w:divBdr>
            <w:top w:val="none" w:sz="0" w:space="0" w:color="auto"/>
            <w:left w:val="none" w:sz="0" w:space="0" w:color="auto"/>
            <w:bottom w:val="none" w:sz="0" w:space="0" w:color="auto"/>
            <w:right w:val="none" w:sz="0" w:space="0" w:color="auto"/>
          </w:divBdr>
        </w:div>
        <w:div w:id="1011488183">
          <w:marLeft w:val="547"/>
          <w:marRight w:val="0"/>
          <w:marTop w:val="120"/>
          <w:marBottom w:val="0"/>
          <w:divBdr>
            <w:top w:val="none" w:sz="0" w:space="0" w:color="auto"/>
            <w:left w:val="none" w:sz="0" w:space="0" w:color="auto"/>
            <w:bottom w:val="none" w:sz="0" w:space="0" w:color="auto"/>
            <w:right w:val="none" w:sz="0" w:space="0" w:color="auto"/>
          </w:divBdr>
        </w:div>
        <w:div w:id="1306086120">
          <w:marLeft w:val="547"/>
          <w:marRight w:val="0"/>
          <w:marTop w:val="120"/>
          <w:marBottom w:val="0"/>
          <w:divBdr>
            <w:top w:val="none" w:sz="0" w:space="0" w:color="auto"/>
            <w:left w:val="none" w:sz="0" w:space="0" w:color="auto"/>
            <w:bottom w:val="none" w:sz="0" w:space="0" w:color="auto"/>
            <w:right w:val="none" w:sz="0" w:space="0" w:color="auto"/>
          </w:divBdr>
        </w:div>
        <w:div w:id="1742286120">
          <w:marLeft w:val="547"/>
          <w:marRight w:val="0"/>
          <w:marTop w:val="120"/>
          <w:marBottom w:val="0"/>
          <w:divBdr>
            <w:top w:val="none" w:sz="0" w:space="0" w:color="auto"/>
            <w:left w:val="none" w:sz="0" w:space="0" w:color="auto"/>
            <w:bottom w:val="none" w:sz="0" w:space="0" w:color="auto"/>
            <w:right w:val="none" w:sz="0" w:space="0" w:color="auto"/>
          </w:divBdr>
        </w:div>
        <w:div w:id="1927306048">
          <w:marLeft w:val="547"/>
          <w:marRight w:val="0"/>
          <w:marTop w:val="120"/>
          <w:marBottom w:val="0"/>
          <w:divBdr>
            <w:top w:val="none" w:sz="0" w:space="0" w:color="auto"/>
            <w:left w:val="none" w:sz="0" w:space="0" w:color="auto"/>
            <w:bottom w:val="none" w:sz="0" w:space="0" w:color="auto"/>
            <w:right w:val="none" w:sz="0" w:space="0" w:color="auto"/>
          </w:divBdr>
        </w:div>
      </w:divsChild>
    </w:div>
    <w:div w:id="875778696">
      <w:bodyDiv w:val="1"/>
      <w:marLeft w:val="0"/>
      <w:marRight w:val="0"/>
      <w:marTop w:val="0"/>
      <w:marBottom w:val="0"/>
      <w:divBdr>
        <w:top w:val="none" w:sz="0" w:space="0" w:color="auto"/>
        <w:left w:val="none" w:sz="0" w:space="0" w:color="auto"/>
        <w:bottom w:val="none" w:sz="0" w:space="0" w:color="auto"/>
        <w:right w:val="none" w:sz="0" w:space="0" w:color="auto"/>
      </w:divBdr>
      <w:divsChild>
        <w:div w:id="6561527">
          <w:marLeft w:val="0"/>
          <w:marRight w:val="0"/>
          <w:marTop w:val="0"/>
          <w:marBottom w:val="0"/>
          <w:divBdr>
            <w:top w:val="none" w:sz="0" w:space="0" w:color="auto"/>
            <w:left w:val="none" w:sz="0" w:space="0" w:color="auto"/>
            <w:bottom w:val="none" w:sz="0" w:space="0" w:color="auto"/>
            <w:right w:val="none" w:sz="0" w:space="0" w:color="auto"/>
          </w:divBdr>
        </w:div>
        <w:div w:id="8457439">
          <w:marLeft w:val="0"/>
          <w:marRight w:val="0"/>
          <w:marTop w:val="0"/>
          <w:marBottom w:val="0"/>
          <w:divBdr>
            <w:top w:val="none" w:sz="0" w:space="0" w:color="auto"/>
            <w:left w:val="none" w:sz="0" w:space="0" w:color="auto"/>
            <w:bottom w:val="none" w:sz="0" w:space="0" w:color="auto"/>
            <w:right w:val="none" w:sz="0" w:space="0" w:color="auto"/>
          </w:divBdr>
        </w:div>
        <w:div w:id="46997155">
          <w:marLeft w:val="0"/>
          <w:marRight w:val="0"/>
          <w:marTop w:val="0"/>
          <w:marBottom w:val="0"/>
          <w:divBdr>
            <w:top w:val="none" w:sz="0" w:space="0" w:color="auto"/>
            <w:left w:val="none" w:sz="0" w:space="0" w:color="auto"/>
            <w:bottom w:val="none" w:sz="0" w:space="0" w:color="auto"/>
            <w:right w:val="none" w:sz="0" w:space="0" w:color="auto"/>
          </w:divBdr>
        </w:div>
        <w:div w:id="100418362">
          <w:marLeft w:val="0"/>
          <w:marRight w:val="0"/>
          <w:marTop w:val="0"/>
          <w:marBottom w:val="0"/>
          <w:divBdr>
            <w:top w:val="none" w:sz="0" w:space="0" w:color="auto"/>
            <w:left w:val="none" w:sz="0" w:space="0" w:color="auto"/>
            <w:bottom w:val="none" w:sz="0" w:space="0" w:color="auto"/>
            <w:right w:val="none" w:sz="0" w:space="0" w:color="auto"/>
          </w:divBdr>
        </w:div>
        <w:div w:id="125901774">
          <w:marLeft w:val="0"/>
          <w:marRight w:val="0"/>
          <w:marTop w:val="0"/>
          <w:marBottom w:val="0"/>
          <w:divBdr>
            <w:top w:val="none" w:sz="0" w:space="0" w:color="auto"/>
            <w:left w:val="none" w:sz="0" w:space="0" w:color="auto"/>
            <w:bottom w:val="none" w:sz="0" w:space="0" w:color="auto"/>
            <w:right w:val="none" w:sz="0" w:space="0" w:color="auto"/>
          </w:divBdr>
        </w:div>
        <w:div w:id="230508056">
          <w:marLeft w:val="0"/>
          <w:marRight w:val="0"/>
          <w:marTop w:val="0"/>
          <w:marBottom w:val="0"/>
          <w:divBdr>
            <w:top w:val="none" w:sz="0" w:space="0" w:color="auto"/>
            <w:left w:val="none" w:sz="0" w:space="0" w:color="auto"/>
            <w:bottom w:val="none" w:sz="0" w:space="0" w:color="auto"/>
            <w:right w:val="none" w:sz="0" w:space="0" w:color="auto"/>
          </w:divBdr>
        </w:div>
        <w:div w:id="237178537">
          <w:marLeft w:val="0"/>
          <w:marRight w:val="0"/>
          <w:marTop w:val="0"/>
          <w:marBottom w:val="0"/>
          <w:divBdr>
            <w:top w:val="none" w:sz="0" w:space="0" w:color="auto"/>
            <w:left w:val="none" w:sz="0" w:space="0" w:color="auto"/>
            <w:bottom w:val="none" w:sz="0" w:space="0" w:color="auto"/>
            <w:right w:val="none" w:sz="0" w:space="0" w:color="auto"/>
          </w:divBdr>
        </w:div>
        <w:div w:id="285818763">
          <w:marLeft w:val="0"/>
          <w:marRight w:val="0"/>
          <w:marTop w:val="0"/>
          <w:marBottom w:val="0"/>
          <w:divBdr>
            <w:top w:val="none" w:sz="0" w:space="0" w:color="auto"/>
            <w:left w:val="none" w:sz="0" w:space="0" w:color="auto"/>
            <w:bottom w:val="none" w:sz="0" w:space="0" w:color="auto"/>
            <w:right w:val="none" w:sz="0" w:space="0" w:color="auto"/>
          </w:divBdr>
        </w:div>
        <w:div w:id="298219993">
          <w:marLeft w:val="0"/>
          <w:marRight w:val="0"/>
          <w:marTop w:val="0"/>
          <w:marBottom w:val="0"/>
          <w:divBdr>
            <w:top w:val="none" w:sz="0" w:space="0" w:color="auto"/>
            <w:left w:val="none" w:sz="0" w:space="0" w:color="auto"/>
            <w:bottom w:val="none" w:sz="0" w:space="0" w:color="auto"/>
            <w:right w:val="none" w:sz="0" w:space="0" w:color="auto"/>
          </w:divBdr>
        </w:div>
        <w:div w:id="306666131">
          <w:marLeft w:val="0"/>
          <w:marRight w:val="0"/>
          <w:marTop w:val="0"/>
          <w:marBottom w:val="0"/>
          <w:divBdr>
            <w:top w:val="none" w:sz="0" w:space="0" w:color="auto"/>
            <w:left w:val="none" w:sz="0" w:space="0" w:color="auto"/>
            <w:bottom w:val="none" w:sz="0" w:space="0" w:color="auto"/>
            <w:right w:val="none" w:sz="0" w:space="0" w:color="auto"/>
          </w:divBdr>
        </w:div>
        <w:div w:id="339622740">
          <w:marLeft w:val="0"/>
          <w:marRight w:val="0"/>
          <w:marTop w:val="0"/>
          <w:marBottom w:val="0"/>
          <w:divBdr>
            <w:top w:val="none" w:sz="0" w:space="0" w:color="auto"/>
            <w:left w:val="none" w:sz="0" w:space="0" w:color="auto"/>
            <w:bottom w:val="none" w:sz="0" w:space="0" w:color="auto"/>
            <w:right w:val="none" w:sz="0" w:space="0" w:color="auto"/>
          </w:divBdr>
        </w:div>
        <w:div w:id="343895585">
          <w:marLeft w:val="0"/>
          <w:marRight w:val="0"/>
          <w:marTop w:val="0"/>
          <w:marBottom w:val="0"/>
          <w:divBdr>
            <w:top w:val="none" w:sz="0" w:space="0" w:color="auto"/>
            <w:left w:val="none" w:sz="0" w:space="0" w:color="auto"/>
            <w:bottom w:val="none" w:sz="0" w:space="0" w:color="auto"/>
            <w:right w:val="none" w:sz="0" w:space="0" w:color="auto"/>
          </w:divBdr>
        </w:div>
        <w:div w:id="369260996">
          <w:marLeft w:val="0"/>
          <w:marRight w:val="0"/>
          <w:marTop w:val="0"/>
          <w:marBottom w:val="0"/>
          <w:divBdr>
            <w:top w:val="none" w:sz="0" w:space="0" w:color="auto"/>
            <w:left w:val="none" w:sz="0" w:space="0" w:color="auto"/>
            <w:bottom w:val="none" w:sz="0" w:space="0" w:color="auto"/>
            <w:right w:val="none" w:sz="0" w:space="0" w:color="auto"/>
          </w:divBdr>
        </w:div>
        <w:div w:id="384647683">
          <w:marLeft w:val="0"/>
          <w:marRight w:val="0"/>
          <w:marTop w:val="0"/>
          <w:marBottom w:val="0"/>
          <w:divBdr>
            <w:top w:val="none" w:sz="0" w:space="0" w:color="auto"/>
            <w:left w:val="none" w:sz="0" w:space="0" w:color="auto"/>
            <w:bottom w:val="none" w:sz="0" w:space="0" w:color="auto"/>
            <w:right w:val="none" w:sz="0" w:space="0" w:color="auto"/>
          </w:divBdr>
        </w:div>
        <w:div w:id="395591434">
          <w:marLeft w:val="0"/>
          <w:marRight w:val="0"/>
          <w:marTop w:val="0"/>
          <w:marBottom w:val="0"/>
          <w:divBdr>
            <w:top w:val="none" w:sz="0" w:space="0" w:color="auto"/>
            <w:left w:val="none" w:sz="0" w:space="0" w:color="auto"/>
            <w:bottom w:val="none" w:sz="0" w:space="0" w:color="auto"/>
            <w:right w:val="none" w:sz="0" w:space="0" w:color="auto"/>
          </w:divBdr>
        </w:div>
        <w:div w:id="438455791">
          <w:marLeft w:val="0"/>
          <w:marRight w:val="0"/>
          <w:marTop w:val="0"/>
          <w:marBottom w:val="0"/>
          <w:divBdr>
            <w:top w:val="none" w:sz="0" w:space="0" w:color="auto"/>
            <w:left w:val="none" w:sz="0" w:space="0" w:color="auto"/>
            <w:bottom w:val="none" w:sz="0" w:space="0" w:color="auto"/>
            <w:right w:val="none" w:sz="0" w:space="0" w:color="auto"/>
          </w:divBdr>
        </w:div>
        <w:div w:id="454907996">
          <w:marLeft w:val="0"/>
          <w:marRight w:val="0"/>
          <w:marTop w:val="0"/>
          <w:marBottom w:val="0"/>
          <w:divBdr>
            <w:top w:val="none" w:sz="0" w:space="0" w:color="auto"/>
            <w:left w:val="none" w:sz="0" w:space="0" w:color="auto"/>
            <w:bottom w:val="none" w:sz="0" w:space="0" w:color="auto"/>
            <w:right w:val="none" w:sz="0" w:space="0" w:color="auto"/>
          </w:divBdr>
        </w:div>
        <w:div w:id="480469119">
          <w:marLeft w:val="0"/>
          <w:marRight w:val="0"/>
          <w:marTop w:val="0"/>
          <w:marBottom w:val="0"/>
          <w:divBdr>
            <w:top w:val="none" w:sz="0" w:space="0" w:color="auto"/>
            <w:left w:val="none" w:sz="0" w:space="0" w:color="auto"/>
            <w:bottom w:val="none" w:sz="0" w:space="0" w:color="auto"/>
            <w:right w:val="none" w:sz="0" w:space="0" w:color="auto"/>
          </w:divBdr>
        </w:div>
        <w:div w:id="494348030">
          <w:marLeft w:val="0"/>
          <w:marRight w:val="0"/>
          <w:marTop w:val="0"/>
          <w:marBottom w:val="0"/>
          <w:divBdr>
            <w:top w:val="none" w:sz="0" w:space="0" w:color="auto"/>
            <w:left w:val="none" w:sz="0" w:space="0" w:color="auto"/>
            <w:bottom w:val="none" w:sz="0" w:space="0" w:color="auto"/>
            <w:right w:val="none" w:sz="0" w:space="0" w:color="auto"/>
          </w:divBdr>
        </w:div>
        <w:div w:id="508298003">
          <w:marLeft w:val="0"/>
          <w:marRight w:val="0"/>
          <w:marTop w:val="0"/>
          <w:marBottom w:val="0"/>
          <w:divBdr>
            <w:top w:val="none" w:sz="0" w:space="0" w:color="auto"/>
            <w:left w:val="none" w:sz="0" w:space="0" w:color="auto"/>
            <w:bottom w:val="none" w:sz="0" w:space="0" w:color="auto"/>
            <w:right w:val="none" w:sz="0" w:space="0" w:color="auto"/>
          </w:divBdr>
        </w:div>
        <w:div w:id="515851491">
          <w:marLeft w:val="0"/>
          <w:marRight w:val="0"/>
          <w:marTop w:val="0"/>
          <w:marBottom w:val="0"/>
          <w:divBdr>
            <w:top w:val="none" w:sz="0" w:space="0" w:color="auto"/>
            <w:left w:val="none" w:sz="0" w:space="0" w:color="auto"/>
            <w:bottom w:val="none" w:sz="0" w:space="0" w:color="auto"/>
            <w:right w:val="none" w:sz="0" w:space="0" w:color="auto"/>
          </w:divBdr>
        </w:div>
        <w:div w:id="631444727">
          <w:marLeft w:val="0"/>
          <w:marRight w:val="0"/>
          <w:marTop w:val="0"/>
          <w:marBottom w:val="0"/>
          <w:divBdr>
            <w:top w:val="none" w:sz="0" w:space="0" w:color="auto"/>
            <w:left w:val="none" w:sz="0" w:space="0" w:color="auto"/>
            <w:bottom w:val="none" w:sz="0" w:space="0" w:color="auto"/>
            <w:right w:val="none" w:sz="0" w:space="0" w:color="auto"/>
          </w:divBdr>
        </w:div>
        <w:div w:id="652416727">
          <w:marLeft w:val="0"/>
          <w:marRight w:val="0"/>
          <w:marTop w:val="0"/>
          <w:marBottom w:val="0"/>
          <w:divBdr>
            <w:top w:val="none" w:sz="0" w:space="0" w:color="auto"/>
            <w:left w:val="none" w:sz="0" w:space="0" w:color="auto"/>
            <w:bottom w:val="none" w:sz="0" w:space="0" w:color="auto"/>
            <w:right w:val="none" w:sz="0" w:space="0" w:color="auto"/>
          </w:divBdr>
        </w:div>
        <w:div w:id="722758044">
          <w:marLeft w:val="0"/>
          <w:marRight w:val="0"/>
          <w:marTop w:val="0"/>
          <w:marBottom w:val="0"/>
          <w:divBdr>
            <w:top w:val="none" w:sz="0" w:space="0" w:color="auto"/>
            <w:left w:val="none" w:sz="0" w:space="0" w:color="auto"/>
            <w:bottom w:val="none" w:sz="0" w:space="0" w:color="auto"/>
            <w:right w:val="none" w:sz="0" w:space="0" w:color="auto"/>
          </w:divBdr>
        </w:div>
        <w:div w:id="771634688">
          <w:marLeft w:val="0"/>
          <w:marRight w:val="0"/>
          <w:marTop w:val="0"/>
          <w:marBottom w:val="0"/>
          <w:divBdr>
            <w:top w:val="none" w:sz="0" w:space="0" w:color="auto"/>
            <w:left w:val="none" w:sz="0" w:space="0" w:color="auto"/>
            <w:bottom w:val="none" w:sz="0" w:space="0" w:color="auto"/>
            <w:right w:val="none" w:sz="0" w:space="0" w:color="auto"/>
          </w:divBdr>
        </w:div>
        <w:div w:id="784033458">
          <w:marLeft w:val="0"/>
          <w:marRight w:val="0"/>
          <w:marTop w:val="0"/>
          <w:marBottom w:val="0"/>
          <w:divBdr>
            <w:top w:val="none" w:sz="0" w:space="0" w:color="auto"/>
            <w:left w:val="none" w:sz="0" w:space="0" w:color="auto"/>
            <w:bottom w:val="none" w:sz="0" w:space="0" w:color="auto"/>
            <w:right w:val="none" w:sz="0" w:space="0" w:color="auto"/>
          </w:divBdr>
        </w:div>
        <w:div w:id="831800050">
          <w:marLeft w:val="0"/>
          <w:marRight w:val="0"/>
          <w:marTop w:val="0"/>
          <w:marBottom w:val="0"/>
          <w:divBdr>
            <w:top w:val="none" w:sz="0" w:space="0" w:color="auto"/>
            <w:left w:val="none" w:sz="0" w:space="0" w:color="auto"/>
            <w:bottom w:val="none" w:sz="0" w:space="0" w:color="auto"/>
            <w:right w:val="none" w:sz="0" w:space="0" w:color="auto"/>
          </w:divBdr>
        </w:div>
        <w:div w:id="838809067">
          <w:marLeft w:val="0"/>
          <w:marRight w:val="0"/>
          <w:marTop w:val="0"/>
          <w:marBottom w:val="0"/>
          <w:divBdr>
            <w:top w:val="none" w:sz="0" w:space="0" w:color="auto"/>
            <w:left w:val="none" w:sz="0" w:space="0" w:color="auto"/>
            <w:bottom w:val="none" w:sz="0" w:space="0" w:color="auto"/>
            <w:right w:val="none" w:sz="0" w:space="0" w:color="auto"/>
          </w:divBdr>
        </w:div>
        <w:div w:id="912470546">
          <w:marLeft w:val="0"/>
          <w:marRight w:val="0"/>
          <w:marTop w:val="0"/>
          <w:marBottom w:val="0"/>
          <w:divBdr>
            <w:top w:val="none" w:sz="0" w:space="0" w:color="auto"/>
            <w:left w:val="none" w:sz="0" w:space="0" w:color="auto"/>
            <w:bottom w:val="none" w:sz="0" w:space="0" w:color="auto"/>
            <w:right w:val="none" w:sz="0" w:space="0" w:color="auto"/>
          </w:divBdr>
        </w:div>
        <w:div w:id="978074199">
          <w:marLeft w:val="0"/>
          <w:marRight w:val="0"/>
          <w:marTop w:val="0"/>
          <w:marBottom w:val="0"/>
          <w:divBdr>
            <w:top w:val="none" w:sz="0" w:space="0" w:color="auto"/>
            <w:left w:val="none" w:sz="0" w:space="0" w:color="auto"/>
            <w:bottom w:val="none" w:sz="0" w:space="0" w:color="auto"/>
            <w:right w:val="none" w:sz="0" w:space="0" w:color="auto"/>
          </w:divBdr>
        </w:div>
        <w:div w:id="990252419">
          <w:marLeft w:val="0"/>
          <w:marRight w:val="0"/>
          <w:marTop w:val="0"/>
          <w:marBottom w:val="0"/>
          <w:divBdr>
            <w:top w:val="none" w:sz="0" w:space="0" w:color="auto"/>
            <w:left w:val="none" w:sz="0" w:space="0" w:color="auto"/>
            <w:bottom w:val="none" w:sz="0" w:space="0" w:color="auto"/>
            <w:right w:val="none" w:sz="0" w:space="0" w:color="auto"/>
          </w:divBdr>
        </w:div>
        <w:div w:id="1043599998">
          <w:marLeft w:val="0"/>
          <w:marRight w:val="0"/>
          <w:marTop w:val="0"/>
          <w:marBottom w:val="0"/>
          <w:divBdr>
            <w:top w:val="none" w:sz="0" w:space="0" w:color="auto"/>
            <w:left w:val="none" w:sz="0" w:space="0" w:color="auto"/>
            <w:bottom w:val="none" w:sz="0" w:space="0" w:color="auto"/>
            <w:right w:val="none" w:sz="0" w:space="0" w:color="auto"/>
          </w:divBdr>
        </w:div>
        <w:div w:id="1045448321">
          <w:marLeft w:val="0"/>
          <w:marRight w:val="0"/>
          <w:marTop w:val="0"/>
          <w:marBottom w:val="0"/>
          <w:divBdr>
            <w:top w:val="none" w:sz="0" w:space="0" w:color="auto"/>
            <w:left w:val="none" w:sz="0" w:space="0" w:color="auto"/>
            <w:bottom w:val="none" w:sz="0" w:space="0" w:color="auto"/>
            <w:right w:val="none" w:sz="0" w:space="0" w:color="auto"/>
          </w:divBdr>
        </w:div>
        <w:div w:id="1169056857">
          <w:marLeft w:val="0"/>
          <w:marRight w:val="0"/>
          <w:marTop w:val="0"/>
          <w:marBottom w:val="0"/>
          <w:divBdr>
            <w:top w:val="none" w:sz="0" w:space="0" w:color="auto"/>
            <w:left w:val="none" w:sz="0" w:space="0" w:color="auto"/>
            <w:bottom w:val="none" w:sz="0" w:space="0" w:color="auto"/>
            <w:right w:val="none" w:sz="0" w:space="0" w:color="auto"/>
          </w:divBdr>
        </w:div>
        <w:div w:id="1219633811">
          <w:marLeft w:val="0"/>
          <w:marRight w:val="0"/>
          <w:marTop w:val="0"/>
          <w:marBottom w:val="0"/>
          <w:divBdr>
            <w:top w:val="none" w:sz="0" w:space="0" w:color="auto"/>
            <w:left w:val="none" w:sz="0" w:space="0" w:color="auto"/>
            <w:bottom w:val="none" w:sz="0" w:space="0" w:color="auto"/>
            <w:right w:val="none" w:sz="0" w:space="0" w:color="auto"/>
          </w:divBdr>
        </w:div>
        <w:div w:id="1221864387">
          <w:marLeft w:val="0"/>
          <w:marRight w:val="0"/>
          <w:marTop w:val="0"/>
          <w:marBottom w:val="0"/>
          <w:divBdr>
            <w:top w:val="none" w:sz="0" w:space="0" w:color="auto"/>
            <w:left w:val="none" w:sz="0" w:space="0" w:color="auto"/>
            <w:bottom w:val="none" w:sz="0" w:space="0" w:color="auto"/>
            <w:right w:val="none" w:sz="0" w:space="0" w:color="auto"/>
          </w:divBdr>
        </w:div>
        <w:div w:id="1249466695">
          <w:marLeft w:val="0"/>
          <w:marRight w:val="0"/>
          <w:marTop w:val="0"/>
          <w:marBottom w:val="0"/>
          <w:divBdr>
            <w:top w:val="none" w:sz="0" w:space="0" w:color="auto"/>
            <w:left w:val="none" w:sz="0" w:space="0" w:color="auto"/>
            <w:bottom w:val="none" w:sz="0" w:space="0" w:color="auto"/>
            <w:right w:val="none" w:sz="0" w:space="0" w:color="auto"/>
          </w:divBdr>
        </w:div>
        <w:div w:id="1252154618">
          <w:marLeft w:val="0"/>
          <w:marRight w:val="0"/>
          <w:marTop w:val="0"/>
          <w:marBottom w:val="0"/>
          <w:divBdr>
            <w:top w:val="none" w:sz="0" w:space="0" w:color="auto"/>
            <w:left w:val="none" w:sz="0" w:space="0" w:color="auto"/>
            <w:bottom w:val="none" w:sz="0" w:space="0" w:color="auto"/>
            <w:right w:val="none" w:sz="0" w:space="0" w:color="auto"/>
          </w:divBdr>
        </w:div>
        <w:div w:id="1256474475">
          <w:marLeft w:val="0"/>
          <w:marRight w:val="0"/>
          <w:marTop w:val="0"/>
          <w:marBottom w:val="0"/>
          <w:divBdr>
            <w:top w:val="none" w:sz="0" w:space="0" w:color="auto"/>
            <w:left w:val="none" w:sz="0" w:space="0" w:color="auto"/>
            <w:bottom w:val="none" w:sz="0" w:space="0" w:color="auto"/>
            <w:right w:val="none" w:sz="0" w:space="0" w:color="auto"/>
          </w:divBdr>
        </w:div>
        <w:div w:id="1262882567">
          <w:marLeft w:val="0"/>
          <w:marRight w:val="0"/>
          <w:marTop w:val="0"/>
          <w:marBottom w:val="0"/>
          <w:divBdr>
            <w:top w:val="none" w:sz="0" w:space="0" w:color="auto"/>
            <w:left w:val="none" w:sz="0" w:space="0" w:color="auto"/>
            <w:bottom w:val="none" w:sz="0" w:space="0" w:color="auto"/>
            <w:right w:val="none" w:sz="0" w:space="0" w:color="auto"/>
          </w:divBdr>
        </w:div>
        <w:div w:id="1301419619">
          <w:marLeft w:val="0"/>
          <w:marRight w:val="0"/>
          <w:marTop w:val="0"/>
          <w:marBottom w:val="0"/>
          <w:divBdr>
            <w:top w:val="none" w:sz="0" w:space="0" w:color="auto"/>
            <w:left w:val="none" w:sz="0" w:space="0" w:color="auto"/>
            <w:bottom w:val="none" w:sz="0" w:space="0" w:color="auto"/>
            <w:right w:val="none" w:sz="0" w:space="0" w:color="auto"/>
          </w:divBdr>
        </w:div>
        <w:div w:id="1306203442">
          <w:marLeft w:val="0"/>
          <w:marRight w:val="0"/>
          <w:marTop w:val="0"/>
          <w:marBottom w:val="0"/>
          <w:divBdr>
            <w:top w:val="none" w:sz="0" w:space="0" w:color="auto"/>
            <w:left w:val="none" w:sz="0" w:space="0" w:color="auto"/>
            <w:bottom w:val="none" w:sz="0" w:space="0" w:color="auto"/>
            <w:right w:val="none" w:sz="0" w:space="0" w:color="auto"/>
          </w:divBdr>
        </w:div>
        <w:div w:id="1319847182">
          <w:marLeft w:val="0"/>
          <w:marRight w:val="0"/>
          <w:marTop w:val="0"/>
          <w:marBottom w:val="0"/>
          <w:divBdr>
            <w:top w:val="none" w:sz="0" w:space="0" w:color="auto"/>
            <w:left w:val="none" w:sz="0" w:space="0" w:color="auto"/>
            <w:bottom w:val="none" w:sz="0" w:space="0" w:color="auto"/>
            <w:right w:val="none" w:sz="0" w:space="0" w:color="auto"/>
          </w:divBdr>
        </w:div>
        <w:div w:id="1327199204">
          <w:marLeft w:val="0"/>
          <w:marRight w:val="0"/>
          <w:marTop w:val="0"/>
          <w:marBottom w:val="0"/>
          <w:divBdr>
            <w:top w:val="none" w:sz="0" w:space="0" w:color="auto"/>
            <w:left w:val="none" w:sz="0" w:space="0" w:color="auto"/>
            <w:bottom w:val="none" w:sz="0" w:space="0" w:color="auto"/>
            <w:right w:val="none" w:sz="0" w:space="0" w:color="auto"/>
          </w:divBdr>
        </w:div>
        <w:div w:id="1334332162">
          <w:marLeft w:val="0"/>
          <w:marRight w:val="0"/>
          <w:marTop w:val="0"/>
          <w:marBottom w:val="0"/>
          <w:divBdr>
            <w:top w:val="none" w:sz="0" w:space="0" w:color="auto"/>
            <w:left w:val="none" w:sz="0" w:space="0" w:color="auto"/>
            <w:bottom w:val="none" w:sz="0" w:space="0" w:color="auto"/>
            <w:right w:val="none" w:sz="0" w:space="0" w:color="auto"/>
          </w:divBdr>
        </w:div>
        <w:div w:id="1389524636">
          <w:marLeft w:val="0"/>
          <w:marRight w:val="0"/>
          <w:marTop w:val="0"/>
          <w:marBottom w:val="0"/>
          <w:divBdr>
            <w:top w:val="none" w:sz="0" w:space="0" w:color="auto"/>
            <w:left w:val="none" w:sz="0" w:space="0" w:color="auto"/>
            <w:bottom w:val="none" w:sz="0" w:space="0" w:color="auto"/>
            <w:right w:val="none" w:sz="0" w:space="0" w:color="auto"/>
          </w:divBdr>
        </w:div>
        <w:div w:id="1423798635">
          <w:marLeft w:val="0"/>
          <w:marRight w:val="0"/>
          <w:marTop w:val="0"/>
          <w:marBottom w:val="0"/>
          <w:divBdr>
            <w:top w:val="none" w:sz="0" w:space="0" w:color="auto"/>
            <w:left w:val="none" w:sz="0" w:space="0" w:color="auto"/>
            <w:bottom w:val="none" w:sz="0" w:space="0" w:color="auto"/>
            <w:right w:val="none" w:sz="0" w:space="0" w:color="auto"/>
          </w:divBdr>
        </w:div>
        <w:div w:id="1458333618">
          <w:marLeft w:val="0"/>
          <w:marRight w:val="0"/>
          <w:marTop w:val="0"/>
          <w:marBottom w:val="0"/>
          <w:divBdr>
            <w:top w:val="none" w:sz="0" w:space="0" w:color="auto"/>
            <w:left w:val="none" w:sz="0" w:space="0" w:color="auto"/>
            <w:bottom w:val="none" w:sz="0" w:space="0" w:color="auto"/>
            <w:right w:val="none" w:sz="0" w:space="0" w:color="auto"/>
          </w:divBdr>
        </w:div>
        <w:div w:id="1555851557">
          <w:marLeft w:val="0"/>
          <w:marRight w:val="0"/>
          <w:marTop w:val="0"/>
          <w:marBottom w:val="0"/>
          <w:divBdr>
            <w:top w:val="none" w:sz="0" w:space="0" w:color="auto"/>
            <w:left w:val="none" w:sz="0" w:space="0" w:color="auto"/>
            <w:bottom w:val="none" w:sz="0" w:space="0" w:color="auto"/>
            <w:right w:val="none" w:sz="0" w:space="0" w:color="auto"/>
          </w:divBdr>
        </w:div>
        <w:div w:id="1563902863">
          <w:marLeft w:val="0"/>
          <w:marRight w:val="0"/>
          <w:marTop w:val="0"/>
          <w:marBottom w:val="0"/>
          <w:divBdr>
            <w:top w:val="none" w:sz="0" w:space="0" w:color="auto"/>
            <w:left w:val="none" w:sz="0" w:space="0" w:color="auto"/>
            <w:bottom w:val="none" w:sz="0" w:space="0" w:color="auto"/>
            <w:right w:val="none" w:sz="0" w:space="0" w:color="auto"/>
          </w:divBdr>
        </w:div>
        <w:div w:id="1585214403">
          <w:marLeft w:val="0"/>
          <w:marRight w:val="0"/>
          <w:marTop w:val="0"/>
          <w:marBottom w:val="0"/>
          <w:divBdr>
            <w:top w:val="none" w:sz="0" w:space="0" w:color="auto"/>
            <w:left w:val="none" w:sz="0" w:space="0" w:color="auto"/>
            <w:bottom w:val="none" w:sz="0" w:space="0" w:color="auto"/>
            <w:right w:val="none" w:sz="0" w:space="0" w:color="auto"/>
          </w:divBdr>
        </w:div>
        <w:div w:id="1590656003">
          <w:marLeft w:val="0"/>
          <w:marRight w:val="0"/>
          <w:marTop w:val="0"/>
          <w:marBottom w:val="0"/>
          <w:divBdr>
            <w:top w:val="none" w:sz="0" w:space="0" w:color="auto"/>
            <w:left w:val="none" w:sz="0" w:space="0" w:color="auto"/>
            <w:bottom w:val="none" w:sz="0" w:space="0" w:color="auto"/>
            <w:right w:val="none" w:sz="0" w:space="0" w:color="auto"/>
          </w:divBdr>
        </w:div>
        <w:div w:id="1684555480">
          <w:marLeft w:val="0"/>
          <w:marRight w:val="0"/>
          <w:marTop w:val="0"/>
          <w:marBottom w:val="0"/>
          <w:divBdr>
            <w:top w:val="none" w:sz="0" w:space="0" w:color="auto"/>
            <w:left w:val="none" w:sz="0" w:space="0" w:color="auto"/>
            <w:bottom w:val="none" w:sz="0" w:space="0" w:color="auto"/>
            <w:right w:val="none" w:sz="0" w:space="0" w:color="auto"/>
          </w:divBdr>
        </w:div>
        <w:div w:id="1689915370">
          <w:marLeft w:val="0"/>
          <w:marRight w:val="0"/>
          <w:marTop w:val="0"/>
          <w:marBottom w:val="0"/>
          <w:divBdr>
            <w:top w:val="none" w:sz="0" w:space="0" w:color="auto"/>
            <w:left w:val="none" w:sz="0" w:space="0" w:color="auto"/>
            <w:bottom w:val="none" w:sz="0" w:space="0" w:color="auto"/>
            <w:right w:val="none" w:sz="0" w:space="0" w:color="auto"/>
          </w:divBdr>
        </w:div>
        <w:div w:id="1749576426">
          <w:marLeft w:val="0"/>
          <w:marRight w:val="0"/>
          <w:marTop w:val="0"/>
          <w:marBottom w:val="0"/>
          <w:divBdr>
            <w:top w:val="none" w:sz="0" w:space="0" w:color="auto"/>
            <w:left w:val="none" w:sz="0" w:space="0" w:color="auto"/>
            <w:bottom w:val="none" w:sz="0" w:space="0" w:color="auto"/>
            <w:right w:val="none" w:sz="0" w:space="0" w:color="auto"/>
          </w:divBdr>
        </w:div>
        <w:div w:id="1755321874">
          <w:marLeft w:val="0"/>
          <w:marRight w:val="0"/>
          <w:marTop w:val="0"/>
          <w:marBottom w:val="0"/>
          <w:divBdr>
            <w:top w:val="none" w:sz="0" w:space="0" w:color="auto"/>
            <w:left w:val="none" w:sz="0" w:space="0" w:color="auto"/>
            <w:bottom w:val="none" w:sz="0" w:space="0" w:color="auto"/>
            <w:right w:val="none" w:sz="0" w:space="0" w:color="auto"/>
          </w:divBdr>
        </w:div>
        <w:div w:id="1778059022">
          <w:marLeft w:val="0"/>
          <w:marRight w:val="0"/>
          <w:marTop w:val="0"/>
          <w:marBottom w:val="0"/>
          <w:divBdr>
            <w:top w:val="none" w:sz="0" w:space="0" w:color="auto"/>
            <w:left w:val="none" w:sz="0" w:space="0" w:color="auto"/>
            <w:bottom w:val="none" w:sz="0" w:space="0" w:color="auto"/>
            <w:right w:val="none" w:sz="0" w:space="0" w:color="auto"/>
          </w:divBdr>
        </w:div>
        <w:div w:id="1782340980">
          <w:marLeft w:val="0"/>
          <w:marRight w:val="0"/>
          <w:marTop w:val="0"/>
          <w:marBottom w:val="0"/>
          <w:divBdr>
            <w:top w:val="none" w:sz="0" w:space="0" w:color="auto"/>
            <w:left w:val="none" w:sz="0" w:space="0" w:color="auto"/>
            <w:bottom w:val="none" w:sz="0" w:space="0" w:color="auto"/>
            <w:right w:val="none" w:sz="0" w:space="0" w:color="auto"/>
          </w:divBdr>
        </w:div>
        <w:div w:id="1784350032">
          <w:marLeft w:val="0"/>
          <w:marRight w:val="0"/>
          <w:marTop w:val="0"/>
          <w:marBottom w:val="0"/>
          <w:divBdr>
            <w:top w:val="none" w:sz="0" w:space="0" w:color="auto"/>
            <w:left w:val="none" w:sz="0" w:space="0" w:color="auto"/>
            <w:bottom w:val="none" w:sz="0" w:space="0" w:color="auto"/>
            <w:right w:val="none" w:sz="0" w:space="0" w:color="auto"/>
          </w:divBdr>
        </w:div>
        <w:div w:id="1816683740">
          <w:marLeft w:val="0"/>
          <w:marRight w:val="0"/>
          <w:marTop w:val="0"/>
          <w:marBottom w:val="0"/>
          <w:divBdr>
            <w:top w:val="none" w:sz="0" w:space="0" w:color="auto"/>
            <w:left w:val="none" w:sz="0" w:space="0" w:color="auto"/>
            <w:bottom w:val="none" w:sz="0" w:space="0" w:color="auto"/>
            <w:right w:val="none" w:sz="0" w:space="0" w:color="auto"/>
          </w:divBdr>
        </w:div>
        <w:div w:id="1833329566">
          <w:marLeft w:val="0"/>
          <w:marRight w:val="0"/>
          <w:marTop w:val="0"/>
          <w:marBottom w:val="0"/>
          <w:divBdr>
            <w:top w:val="none" w:sz="0" w:space="0" w:color="auto"/>
            <w:left w:val="none" w:sz="0" w:space="0" w:color="auto"/>
            <w:bottom w:val="none" w:sz="0" w:space="0" w:color="auto"/>
            <w:right w:val="none" w:sz="0" w:space="0" w:color="auto"/>
          </w:divBdr>
        </w:div>
        <w:div w:id="1844322768">
          <w:marLeft w:val="0"/>
          <w:marRight w:val="0"/>
          <w:marTop w:val="0"/>
          <w:marBottom w:val="0"/>
          <w:divBdr>
            <w:top w:val="none" w:sz="0" w:space="0" w:color="auto"/>
            <w:left w:val="none" w:sz="0" w:space="0" w:color="auto"/>
            <w:bottom w:val="none" w:sz="0" w:space="0" w:color="auto"/>
            <w:right w:val="none" w:sz="0" w:space="0" w:color="auto"/>
          </w:divBdr>
        </w:div>
        <w:div w:id="1878852461">
          <w:marLeft w:val="0"/>
          <w:marRight w:val="0"/>
          <w:marTop w:val="0"/>
          <w:marBottom w:val="0"/>
          <w:divBdr>
            <w:top w:val="none" w:sz="0" w:space="0" w:color="auto"/>
            <w:left w:val="none" w:sz="0" w:space="0" w:color="auto"/>
            <w:bottom w:val="none" w:sz="0" w:space="0" w:color="auto"/>
            <w:right w:val="none" w:sz="0" w:space="0" w:color="auto"/>
          </w:divBdr>
        </w:div>
        <w:div w:id="1886670917">
          <w:marLeft w:val="0"/>
          <w:marRight w:val="0"/>
          <w:marTop w:val="0"/>
          <w:marBottom w:val="0"/>
          <w:divBdr>
            <w:top w:val="none" w:sz="0" w:space="0" w:color="auto"/>
            <w:left w:val="none" w:sz="0" w:space="0" w:color="auto"/>
            <w:bottom w:val="none" w:sz="0" w:space="0" w:color="auto"/>
            <w:right w:val="none" w:sz="0" w:space="0" w:color="auto"/>
          </w:divBdr>
        </w:div>
        <w:div w:id="1928878348">
          <w:marLeft w:val="0"/>
          <w:marRight w:val="0"/>
          <w:marTop w:val="0"/>
          <w:marBottom w:val="0"/>
          <w:divBdr>
            <w:top w:val="none" w:sz="0" w:space="0" w:color="auto"/>
            <w:left w:val="none" w:sz="0" w:space="0" w:color="auto"/>
            <w:bottom w:val="none" w:sz="0" w:space="0" w:color="auto"/>
            <w:right w:val="none" w:sz="0" w:space="0" w:color="auto"/>
          </w:divBdr>
        </w:div>
        <w:div w:id="1960449862">
          <w:marLeft w:val="0"/>
          <w:marRight w:val="0"/>
          <w:marTop w:val="0"/>
          <w:marBottom w:val="0"/>
          <w:divBdr>
            <w:top w:val="none" w:sz="0" w:space="0" w:color="auto"/>
            <w:left w:val="none" w:sz="0" w:space="0" w:color="auto"/>
            <w:bottom w:val="none" w:sz="0" w:space="0" w:color="auto"/>
            <w:right w:val="none" w:sz="0" w:space="0" w:color="auto"/>
          </w:divBdr>
        </w:div>
        <w:div w:id="1983579258">
          <w:marLeft w:val="0"/>
          <w:marRight w:val="0"/>
          <w:marTop w:val="0"/>
          <w:marBottom w:val="0"/>
          <w:divBdr>
            <w:top w:val="none" w:sz="0" w:space="0" w:color="auto"/>
            <w:left w:val="none" w:sz="0" w:space="0" w:color="auto"/>
            <w:bottom w:val="none" w:sz="0" w:space="0" w:color="auto"/>
            <w:right w:val="none" w:sz="0" w:space="0" w:color="auto"/>
          </w:divBdr>
        </w:div>
        <w:div w:id="1988969945">
          <w:marLeft w:val="0"/>
          <w:marRight w:val="0"/>
          <w:marTop w:val="0"/>
          <w:marBottom w:val="0"/>
          <w:divBdr>
            <w:top w:val="none" w:sz="0" w:space="0" w:color="auto"/>
            <w:left w:val="none" w:sz="0" w:space="0" w:color="auto"/>
            <w:bottom w:val="none" w:sz="0" w:space="0" w:color="auto"/>
            <w:right w:val="none" w:sz="0" w:space="0" w:color="auto"/>
          </w:divBdr>
        </w:div>
        <w:div w:id="2100060527">
          <w:marLeft w:val="0"/>
          <w:marRight w:val="0"/>
          <w:marTop w:val="0"/>
          <w:marBottom w:val="0"/>
          <w:divBdr>
            <w:top w:val="none" w:sz="0" w:space="0" w:color="auto"/>
            <w:left w:val="none" w:sz="0" w:space="0" w:color="auto"/>
            <w:bottom w:val="none" w:sz="0" w:space="0" w:color="auto"/>
            <w:right w:val="none" w:sz="0" w:space="0" w:color="auto"/>
          </w:divBdr>
        </w:div>
        <w:div w:id="2102794023">
          <w:marLeft w:val="0"/>
          <w:marRight w:val="0"/>
          <w:marTop w:val="0"/>
          <w:marBottom w:val="0"/>
          <w:divBdr>
            <w:top w:val="none" w:sz="0" w:space="0" w:color="auto"/>
            <w:left w:val="none" w:sz="0" w:space="0" w:color="auto"/>
            <w:bottom w:val="none" w:sz="0" w:space="0" w:color="auto"/>
            <w:right w:val="none" w:sz="0" w:space="0" w:color="auto"/>
          </w:divBdr>
        </w:div>
      </w:divsChild>
    </w:div>
    <w:div w:id="876818395">
      <w:bodyDiv w:val="1"/>
      <w:marLeft w:val="0"/>
      <w:marRight w:val="0"/>
      <w:marTop w:val="0"/>
      <w:marBottom w:val="0"/>
      <w:divBdr>
        <w:top w:val="none" w:sz="0" w:space="0" w:color="auto"/>
        <w:left w:val="none" w:sz="0" w:space="0" w:color="auto"/>
        <w:bottom w:val="none" w:sz="0" w:space="0" w:color="auto"/>
        <w:right w:val="none" w:sz="0" w:space="0" w:color="auto"/>
      </w:divBdr>
    </w:div>
    <w:div w:id="901480414">
      <w:bodyDiv w:val="1"/>
      <w:marLeft w:val="0"/>
      <w:marRight w:val="0"/>
      <w:marTop w:val="0"/>
      <w:marBottom w:val="0"/>
      <w:divBdr>
        <w:top w:val="none" w:sz="0" w:space="0" w:color="auto"/>
        <w:left w:val="none" w:sz="0" w:space="0" w:color="auto"/>
        <w:bottom w:val="none" w:sz="0" w:space="0" w:color="auto"/>
        <w:right w:val="none" w:sz="0" w:space="0" w:color="auto"/>
      </w:divBdr>
    </w:div>
    <w:div w:id="920213799">
      <w:bodyDiv w:val="1"/>
      <w:marLeft w:val="0"/>
      <w:marRight w:val="0"/>
      <w:marTop w:val="0"/>
      <w:marBottom w:val="0"/>
      <w:divBdr>
        <w:top w:val="none" w:sz="0" w:space="0" w:color="auto"/>
        <w:left w:val="none" w:sz="0" w:space="0" w:color="auto"/>
        <w:bottom w:val="none" w:sz="0" w:space="0" w:color="auto"/>
        <w:right w:val="none" w:sz="0" w:space="0" w:color="auto"/>
      </w:divBdr>
    </w:div>
    <w:div w:id="936134265">
      <w:bodyDiv w:val="1"/>
      <w:marLeft w:val="0"/>
      <w:marRight w:val="0"/>
      <w:marTop w:val="0"/>
      <w:marBottom w:val="0"/>
      <w:divBdr>
        <w:top w:val="none" w:sz="0" w:space="0" w:color="auto"/>
        <w:left w:val="none" w:sz="0" w:space="0" w:color="auto"/>
        <w:bottom w:val="none" w:sz="0" w:space="0" w:color="auto"/>
        <w:right w:val="none" w:sz="0" w:space="0" w:color="auto"/>
      </w:divBdr>
    </w:div>
    <w:div w:id="945963483">
      <w:bodyDiv w:val="1"/>
      <w:marLeft w:val="0"/>
      <w:marRight w:val="0"/>
      <w:marTop w:val="0"/>
      <w:marBottom w:val="0"/>
      <w:divBdr>
        <w:top w:val="none" w:sz="0" w:space="0" w:color="auto"/>
        <w:left w:val="none" w:sz="0" w:space="0" w:color="auto"/>
        <w:bottom w:val="none" w:sz="0" w:space="0" w:color="auto"/>
        <w:right w:val="none" w:sz="0" w:space="0" w:color="auto"/>
      </w:divBdr>
    </w:div>
    <w:div w:id="955022578">
      <w:bodyDiv w:val="1"/>
      <w:marLeft w:val="0"/>
      <w:marRight w:val="0"/>
      <w:marTop w:val="0"/>
      <w:marBottom w:val="0"/>
      <w:divBdr>
        <w:top w:val="none" w:sz="0" w:space="0" w:color="auto"/>
        <w:left w:val="none" w:sz="0" w:space="0" w:color="auto"/>
        <w:bottom w:val="none" w:sz="0" w:space="0" w:color="auto"/>
        <w:right w:val="none" w:sz="0" w:space="0" w:color="auto"/>
      </w:divBdr>
    </w:div>
    <w:div w:id="956065539">
      <w:bodyDiv w:val="1"/>
      <w:marLeft w:val="0"/>
      <w:marRight w:val="0"/>
      <w:marTop w:val="0"/>
      <w:marBottom w:val="0"/>
      <w:divBdr>
        <w:top w:val="none" w:sz="0" w:space="0" w:color="auto"/>
        <w:left w:val="none" w:sz="0" w:space="0" w:color="auto"/>
        <w:bottom w:val="none" w:sz="0" w:space="0" w:color="auto"/>
        <w:right w:val="none" w:sz="0" w:space="0" w:color="auto"/>
      </w:divBdr>
      <w:divsChild>
        <w:div w:id="22557325">
          <w:marLeft w:val="547"/>
          <w:marRight w:val="0"/>
          <w:marTop w:val="0"/>
          <w:marBottom w:val="144"/>
          <w:divBdr>
            <w:top w:val="none" w:sz="0" w:space="0" w:color="auto"/>
            <w:left w:val="none" w:sz="0" w:space="0" w:color="auto"/>
            <w:bottom w:val="none" w:sz="0" w:space="0" w:color="auto"/>
            <w:right w:val="none" w:sz="0" w:space="0" w:color="auto"/>
          </w:divBdr>
        </w:div>
        <w:div w:id="49959591">
          <w:marLeft w:val="1166"/>
          <w:marRight w:val="0"/>
          <w:marTop w:val="0"/>
          <w:marBottom w:val="120"/>
          <w:divBdr>
            <w:top w:val="none" w:sz="0" w:space="0" w:color="auto"/>
            <w:left w:val="none" w:sz="0" w:space="0" w:color="auto"/>
            <w:bottom w:val="none" w:sz="0" w:space="0" w:color="auto"/>
            <w:right w:val="none" w:sz="0" w:space="0" w:color="auto"/>
          </w:divBdr>
        </w:div>
        <w:div w:id="211619603">
          <w:marLeft w:val="547"/>
          <w:marRight w:val="0"/>
          <w:marTop w:val="0"/>
          <w:marBottom w:val="144"/>
          <w:divBdr>
            <w:top w:val="none" w:sz="0" w:space="0" w:color="auto"/>
            <w:left w:val="none" w:sz="0" w:space="0" w:color="auto"/>
            <w:bottom w:val="none" w:sz="0" w:space="0" w:color="auto"/>
            <w:right w:val="none" w:sz="0" w:space="0" w:color="auto"/>
          </w:divBdr>
        </w:div>
        <w:div w:id="242572030">
          <w:marLeft w:val="1166"/>
          <w:marRight w:val="0"/>
          <w:marTop w:val="0"/>
          <w:marBottom w:val="120"/>
          <w:divBdr>
            <w:top w:val="none" w:sz="0" w:space="0" w:color="auto"/>
            <w:left w:val="none" w:sz="0" w:space="0" w:color="auto"/>
            <w:bottom w:val="none" w:sz="0" w:space="0" w:color="auto"/>
            <w:right w:val="none" w:sz="0" w:space="0" w:color="auto"/>
          </w:divBdr>
        </w:div>
        <w:div w:id="345865508">
          <w:marLeft w:val="1166"/>
          <w:marRight w:val="0"/>
          <w:marTop w:val="0"/>
          <w:marBottom w:val="120"/>
          <w:divBdr>
            <w:top w:val="none" w:sz="0" w:space="0" w:color="auto"/>
            <w:left w:val="none" w:sz="0" w:space="0" w:color="auto"/>
            <w:bottom w:val="none" w:sz="0" w:space="0" w:color="auto"/>
            <w:right w:val="none" w:sz="0" w:space="0" w:color="auto"/>
          </w:divBdr>
        </w:div>
        <w:div w:id="398749006">
          <w:marLeft w:val="1166"/>
          <w:marRight w:val="0"/>
          <w:marTop w:val="0"/>
          <w:marBottom w:val="120"/>
          <w:divBdr>
            <w:top w:val="none" w:sz="0" w:space="0" w:color="auto"/>
            <w:left w:val="none" w:sz="0" w:space="0" w:color="auto"/>
            <w:bottom w:val="none" w:sz="0" w:space="0" w:color="auto"/>
            <w:right w:val="none" w:sz="0" w:space="0" w:color="auto"/>
          </w:divBdr>
        </w:div>
        <w:div w:id="526067800">
          <w:marLeft w:val="1166"/>
          <w:marRight w:val="0"/>
          <w:marTop w:val="0"/>
          <w:marBottom w:val="120"/>
          <w:divBdr>
            <w:top w:val="none" w:sz="0" w:space="0" w:color="auto"/>
            <w:left w:val="none" w:sz="0" w:space="0" w:color="auto"/>
            <w:bottom w:val="none" w:sz="0" w:space="0" w:color="auto"/>
            <w:right w:val="none" w:sz="0" w:space="0" w:color="auto"/>
          </w:divBdr>
        </w:div>
        <w:div w:id="792678932">
          <w:marLeft w:val="547"/>
          <w:marRight w:val="0"/>
          <w:marTop w:val="0"/>
          <w:marBottom w:val="144"/>
          <w:divBdr>
            <w:top w:val="none" w:sz="0" w:space="0" w:color="auto"/>
            <w:left w:val="none" w:sz="0" w:space="0" w:color="auto"/>
            <w:bottom w:val="none" w:sz="0" w:space="0" w:color="auto"/>
            <w:right w:val="none" w:sz="0" w:space="0" w:color="auto"/>
          </w:divBdr>
        </w:div>
        <w:div w:id="861864300">
          <w:marLeft w:val="1166"/>
          <w:marRight w:val="0"/>
          <w:marTop w:val="0"/>
          <w:marBottom w:val="120"/>
          <w:divBdr>
            <w:top w:val="none" w:sz="0" w:space="0" w:color="auto"/>
            <w:left w:val="none" w:sz="0" w:space="0" w:color="auto"/>
            <w:bottom w:val="none" w:sz="0" w:space="0" w:color="auto"/>
            <w:right w:val="none" w:sz="0" w:space="0" w:color="auto"/>
          </w:divBdr>
        </w:div>
        <w:div w:id="1064596820">
          <w:marLeft w:val="547"/>
          <w:marRight w:val="0"/>
          <w:marTop w:val="0"/>
          <w:marBottom w:val="144"/>
          <w:divBdr>
            <w:top w:val="none" w:sz="0" w:space="0" w:color="auto"/>
            <w:left w:val="none" w:sz="0" w:space="0" w:color="auto"/>
            <w:bottom w:val="none" w:sz="0" w:space="0" w:color="auto"/>
            <w:right w:val="none" w:sz="0" w:space="0" w:color="auto"/>
          </w:divBdr>
        </w:div>
        <w:div w:id="1178079104">
          <w:marLeft w:val="547"/>
          <w:marRight w:val="0"/>
          <w:marTop w:val="0"/>
          <w:marBottom w:val="144"/>
          <w:divBdr>
            <w:top w:val="none" w:sz="0" w:space="0" w:color="auto"/>
            <w:left w:val="none" w:sz="0" w:space="0" w:color="auto"/>
            <w:bottom w:val="none" w:sz="0" w:space="0" w:color="auto"/>
            <w:right w:val="none" w:sz="0" w:space="0" w:color="auto"/>
          </w:divBdr>
        </w:div>
        <w:div w:id="1272589254">
          <w:marLeft w:val="1166"/>
          <w:marRight w:val="0"/>
          <w:marTop w:val="0"/>
          <w:marBottom w:val="120"/>
          <w:divBdr>
            <w:top w:val="none" w:sz="0" w:space="0" w:color="auto"/>
            <w:left w:val="none" w:sz="0" w:space="0" w:color="auto"/>
            <w:bottom w:val="none" w:sz="0" w:space="0" w:color="auto"/>
            <w:right w:val="none" w:sz="0" w:space="0" w:color="auto"/>
          </w:divBdr>
        </w:div>
        <w:div w:id="1880899758">
          <w:marLeft w:val="1166"/>
          <w:marRight w:val="0"/>
          <w:marTop w:val="0"/>
          <w:marBottom w:val="120"/>
          <w:divBdr>
            <w:top w:val="none" w:sz="0" w:space="0" w:color="auto"/>
            <w:left w:val="none" w:sz="0" w:space="0" w:color="auto"/>
            <w:bottom w:val="none" w:sz="0" w:space="0" w:color="auto"/>
            <w:right w:val="none" w:sz="0" w:space="0" w:color="auto"/>
          </w:divBdr>
        </w:div>
        <w:div w:id="1905215920">
          <w:marLeft w:val="547"/>
          <w:marRight w:val="0"/>
          <w:marTop w:val="0"/>
          <w:marBottom w:val="144"/>
          <w:divBdr>
            <w:top w:val="none" w:sz="0" w:space="0" w:color="auto"/>
            <w:left w:val="none" w:sz="0" w:space="0" w:color="auto"/>
            <w:bottom w:val="none" w:sz="0" w:space="0" w:color="auto"/>
            <w:right w:val="none" w:sz="0" w:space="0" w:color="auto"/>
          </w:divBdr>
        </w:div>
        <w:div w:id="1979676584">
          <w:marLeft w:val="547"/>
          <w:marRight w:val="0"/>
          <w:marTop w:val="0"/>
          <w:marBottom w:val="144"/>
          <w:divBdr>
            <w:top w:val="none" w:sz="0" w:space="0" w:color="auto"/>
            <w:left w:val="none" w:sz="0" w:space="0" w:color="auto"/>
            <w:bottom w:val="none" w:sz="0" w:space="0" w:color="auto"/>
            <w:right w:val="none" w:sz="0" w:space="0" w:color="auto"/>
          </w:divBdr>
        </w:div>
      </w:divsChild>
    </w:div>
    <w:div w:id="956718989">
      <w:bodyDiv w:val="1"/>
      <w:marLeft w:val="0"/>
      <w:marRight w:val="0"/>
      <w:marTop w:val="0"/>
      <w:marBottom w:val="0"/>
      <w:divBdr>
        <w:top w:val="none" w:sz="0" w:space="0" w:color="auto"/>
        <w:left w:val="none" w:sz="0" w:space="0" w:color="auto"/>
        <w:bottom w:val="none" w:sz="0" w:space="0" w:color="auto"/>
        <w:right w:val="none" w:sz="0" w:space="0" w:color="auto"/>
      </w:divBdr>
      <w:divsChild>
        <w:div w:id="73741691">
          <w:marLeft w:val="446"/>
          <w:marRight w:val="0"/>
          <w:marTop w:val="0"/>
          <w:marBottom w:val="0"/>
          <w:divBdr>
            <w:top w:val="none" w:sz="0" w:space="0" w:color="auto"/>
            <w:left w:val="none" w:sz="0" w:space="0" w:color="auto"/>
            <w:bottom w:val="none" w:sz="0" w:space="0" w:color="auto"/>
            <w:right w:val="none" w:sz="0" w:space="0" w:color="auto"/>
          </w:divBdr>
        </w:div>
        <w:div w:id="1687974930">
          <w:marLeft w:val="446"/>
          <w:marRight w:val="0"/>
          <w:marTop w:val="0"/>
          <w:marBottom w:val="0"/>
          <w:divBdr>
            <w:top w:val="none" w:sz="0" w:space="0" w:color="auto"/>
            <w:left w:val="none" w:sz="0" w:space="0" w:color="auto"/>
            <w:bottom w:val="none" w:sz="0" w:space="0" w:color="auto"/>
            <w:right w:val="none" w:sz="0" w:space="0" w:color="auto"/>
          </w:divBdr>
        </w:div>
      </w:divsChild>
    </w:div>
    <w:div w:id="1001197658">
      <w:bodyDiv w:val="1"/>
      <w:marLeft w:val="0"/>
      <w:marRight w:val="0"/>
      <w:marTop w:val="0"/>
      <w:marBottom w:val="0"/>
      <w:divBdr>
        <w:top w:val="none" w:sz="0" w:space="0" w:color="auto"/>
        <w:left w:val="none" w:sz="0" w:space="0" w:color="auto"/>
        <w:bottom w:val="none" w:sz="0" w:space="0" w:color="auto"/>
        <w:right w:val="none" w:sz="0" w:space="0" w:color="auto"/>
      </w:divBdr>
    </w:div>
    <w:div w:id="1018658673">
      <w:bodyDiv w:val="1"/>
      <w:marLeft w:val="0"/>
      <w:marRight w:val="0"/>
      <w:marTop w:val="0"/>
      <w:marBottom w:val="0"/>
      <w:divBdr>
        <w:top w:val="none" w:sz="0" w:space="0" w:color="auto"/>
        <w:left w:val="none" w:sz="0" w:space="0" w:color="auto"/>
        <w:bottom w:val="none" w:sz="0" w:space="0" w:color="auto"/>
        <w:right w:val="none" w:sz="0" w:space="0" w:color="auto"/>
      </w:divBdr>
    </w:div>
    <w:div w:id="1020474509">
      <w:bodyDiv w:val="1"/>
      <w:marLeft w:val="0"/>
      <w:marRight w:val="0"/>
      <w:marTop w:val="0"/>
      <w:marBottom w:val="0"/>
      <w:divBdr>
        <w:top w:val="none" w:sz="0" w:space="0" w:color="auto"/>
        <w:left w:val="none" w:sz="0" w:space="0" w:color="auto"/>
        <w:bottom w:val="none" w:sz="0" w:space="0" w:color="auto"/>
        <w:right w:val="none" w:sz="0" w:space="0" w:color="auto"/>
      </w:divBdr>
    </w:div>
    <w:div w:id="1023093062">
      <w:bodyDiv w:val="1"/>
      <w:marLeft w:val="0"/>
      <w:marRight w:val="0"/>
      <w:marTop w:val="0"/>
      <w:marBottom w:val="0"/>
      <w:divBdr>
        <w:top w:val="none" w:sz="0" w:space="0" w:color="auto"/>
        <w:left w:val="none" w:sz="0" w:space="0" w:color="auto"/>
        <w:bottom w:val="none" w:sz="0" w:space="0" w:color="auto"/>
        <w:right w:val="none" w:sz="0" w:space="0" w:color="auto"/>
      </w:divBdr>
    </w:div>
    <w:div w:id="1027485832">
      <w:bodyDiv w:val="1"/>
      <w:marLeft w:val="0"/>
      <w:marRight w:val="0"/>
      <w:marTop w:val="0"/>
      <w:marBottom w:val="0"/>
      <w:divBdr>
        <w:top w:val="none" w:sz="0" w:space="0" w:color="auto"/>
        <w:left w:val="none" w:sz="0" w:space="0" w:color="auto"/>
        <w:bottom w:val="none" w:sz="0" w:space="0" w:color="auto"/>
        <w:right w:val="none" w:sz="0" w:space="0" w:color="auto"/>
      </w:divBdr>
      <w:divsChild>
        <w:div w:id="32309948">
          <w:marLeft w:val="907"/>
          <w:marRight w:val="0"/>
          <w:marTop w:val="91"/>
          <w:marBottom w:val="0"/>
          <w:divBdr>
            <w:top w:val="none" w:sz="0" w:space="0" w:color="auto"/>
            <w:left w:val="none" w:sz="0" w:space="0" w:color="auto"/>
            <w:bottom w:val="none" w:sz="0" w:space="0" w:color="auto"/>
            <w:right w:val="none" w:sz="0" w:space="0" w:color="auto"/>
          </w:divBdr>
        </w:div>
        <w:div w:id="203257658">
          <w:marLeft w:val="907"/>
          <w:marRight w:val="0"/>
          <w:marTop w:val="91"/>
          <w:marBottom w:val="0"/>
          <w:divBdr>
            <w:top w:val="none" w:sz="0" w:space="0" w:color="auto"/>
            <w:left w:val="none" w:sz="0" w:space="0" w:color="auto"/>
            <w:bottom w:val="none" w:sz="0" w:space="0" w:color="auto"/>
            <w:right w:val="none" w:sz="0" w:space="0" w:color="auto"/>
          </w:divBdr>
        </w:div>
        <w:div w:id="445777812">
          <w:marLeft w:val="720"/>
          <w:marRight w:val="0"/>
          <w:marTop w:val="106"/>
          <w:marBottom w:val="0"/>
          <w:divBdr>
            <w:top w:val="none" w:sz="0" w:space="0" w:color="auto"/>
            <w:left w:val="none" w:sz="0" w:space="0" w:color="auto"/>
            <w:bottom w:val="none" w:sz="0" w:space="0" w:color="auto"/>
            <w:right w:val="none" w:sz="0" w:space="0" w:color="auto"/>
          </w:divBdr>
        </w:div>
        <w:div w:id="530805669">
          <w:marLeft w:val="720"/>
          <w:marRight w:val="0"/>
          <w:marTop w:val="106"/>
          <w:marBottom w:val="0"/>
          <w:divBdr>
            <w:top w:val="none" w:sz="0" w:space="0" w:color="auto"/>
            <w:left w:val="none" w:sz="0" w:space="0" w:color="auto"/>
            <w:bottom w:val="none" w:sz="0" w:space="0" w:color="auto"/>
            <w:right w:val="none" w:sz="0" w:space="0" w:color="auto"/>
          </w:divBdr>
        </w:div>
        <w:div w:id="552086436">
          <w:marLeft w:val="1498"/>
          <w:marRight w:val="0"/>
          <w:marTop w:val="82"/>
          <w:marBottom w:val="0"/>
          <w:divBdr>
            <w:top w:val="none" w:sz="0" w:space="0" w:color="auto"/>
            <w:left w:val="none" w:sz="0" w:space="0" w:color="auto"/>
            <w:bottom w:val="none" w:sz="0" w:space="0" w:color="auto"/>
            <w:right w:val="none" w:sz="0" w:space="0" w:color="auto"/>
          </w:divBdr>
        </w:div>
        <w:div w:id="1095514019">
          <w:marLeft w:val="907"/>
          <w:marRight w:val="0"/>
          <w:marTop w:val="91"/>
          <w:marBottom w:val="0"/>
          <w:divBdr>
            <w:top w:val="none" w:sz="0" w:space="0" w:color="auto"/>
            <w:left w:val="none" w:sz="0" w:space="0" w:color="auto"/>
            <w:bottom w:val="none" w:sz="0" w:space="0" w:color="auto"/>
            <w:right w:val="none" w:sz="0" w:space="0" w:color="auto"/>
          </w:divBdr>
        </w:div>
        <w:div w:id="1708988866">
          <w:marLeft w:val="907"/>
          <w:marRight w:val="0"/>
          <w:marTop w:val="91"/>
          <w:marBottom w:val="0"/>
          <w:divBdr>
            <w:top w:val="none" w:sz="0" w:space="0" w:color="auto"/>
            <w:left w:val="none" w:sz="0" w:space="0" w:color="auto"/>
            <w:bottom w:val="none" w:sz="0" w:space="0" w:color="auto"/>
            <w:right w:val="none" w:sz="0" w:space="0" w:color="auto"/>
          </w:divBdr>
        </w:div>
        <w:div w:id="2049645174">
          <w:marLeft w:val="1498"/>
          <w:marRight w:val="0"/>
          <w:marTop w:val="82"/>
          <w:marBottom w:val="0"/>
          <w:divBdr>
            <w:top w:val="none" w:sz="0" w:space="0" w:color="auto"/>
            <w:left w:val="none" w:sz="0" w:space="0" w:color="auto"/>
            <w:bottom w:val="none" w:sz="0" w:space="0" w:color="auto"/>
            <w:right w:val="none" w:sz="0" w:space="0" w:color="auto"/>
          </w:divBdr>
        </w:div>
        <w:div w:id="2116630126">
          <w:marLeft w:val="1498"/>
          <w:marRight w:val="0"/>
          <w:marTop w:val="82"/>
          <w:marBottom w:val="0"/>
          <w:divBdr>
            <w:top w:val="none" w:sz="0" w:space="0" w:color="auto"/>
            <w:left w:val="none" w:sz="0" w:space="0" w:color="auto"/>
            <w:bottom w:val="none" w:sz="0" w:space="0" w:color="auto"/>
            <w:right w:val="none" w:sz="0" w:space="0" w:color="auto"/>
          </w:divBdr>
        </w:div>
        <w:div w:id="2143577831">
          <w:marLeft w:val="1498"/>
          <w:marRight w:val="0"/>
          <w:marTop w:val="82"/>
          <w:marBottom w:val="0"/>
          <w:divBdr>
            <w:top w:val="none" w:sz="0" w:space="0" w:color="auto"/>
            <w:left w:val="none" w:sz="0" w:space="0" w:color="auto"/>
            <w:bottom w:val="none" w:sz="0" w:space="0" w:color="auto"/>
            <w:right w:val="none" w:sz="0" w:space="0" w:color="auto"/>
          </w:divBdr>
        </w:div>
      </w:divsChild>
    </w:div>
    <w:div w:id="1047989172">
      <w:bodyDiv w:val="1"/>
      <w:marLeft w:val="0"/>
      <w:marRight w:val="0"/>
      <w:marTop w:val="0"/>
      <w:marBottom w:val="0"/>
      <w:divBdr>
        <w:top w:val="none" w:sz="0" w:space="0" w:color="auto"/>
        <w:left w:val="none" w:sz="0" w:space="0" w:color="auto"/>
        <w:bottom w:val="none" w:sz="0" w:space="0" w:color="auto"/>
        <w:right w:val="none" w:sz="0" w:space="0" w:color="auto"/>
      </w:divBdr>
    </w:div>
    <w:div w:id="1061634810">
      <w:bodyDiv w:val="1"/>
      <w:marLeft w:val="0"/>
      <w:marRight w:val="0"/>
      <w:marTop w:val="0"/>
      <w:marBottom w:val="0"/>
      <w:divBdr>
        <w:top w:val="none" w:sz="0" w:space="0" w:color="auto"/>
        <w:left w:val="none" w:sz="0" w:space="0" w:color="auto"/>
        <w:bottom w:val="none" w:sz="0" w:space="0" w:color="auto"/>
        <w:right w:val="none" w:sz="0" w:space="0" w:color="auto"/>
      </w:divBdr>
    </w:div>
    <w:div w:id="1066413937">
      <w:bodyDiv w:val="1"/>
      <w:marLeft w:val="0"/>
      <w:marRight w:val="0"/>
      <w:marTop w:val="0"/>
      <w:marBottom w:val="0"/>
      <w:divBdr>
        <w:top w:val="none" w:sz="0" w:space="0" w:color="auto"/>
        <w:left w:val="none" w:sz="0" w:space="0" w:color="auto"/>
        <w:bottom w:val="none" w:sz="0" w:space="0" w:color="auto"/>
        <w:right w:val="none" w:sz="0" w:space="0" w:color="auto"/>
      </w:divBdr>
      <w:divsChild>
        <w:div w:id="463011851">
          <w:marLeft w:val="446"/>
          <w:marRight w:val="0"/>
          <w:marTop w:val="0"/>
          <w:marBottom w:val="0"/>
          <w:divBdr>
            <w:top w:val="none" w:sz="0" w:space="0" w:color="auto"/>
            <w:left w:val="none" w:sz="0" w:space="0" w:color="auto"/>
            <w:bottom w:val="none" w:sz="0" w:space="0" w:color="auto"/>
            <w:right w:val="none" w:sz="0" w:space="0" w:color="auto"/>
          </w:divBdr>
        </w:div>
      </w:divsChild>
    </w:div>
    <w:div w:id="1089691074">
      <w:bodyDiv w:val="1"/>
      <w:marLeft w:val="0"/>
      <w:marRight w:val="0"/>
      <w:marTop w:val="0"/>
      <w:marBottom w:val="0"/>
      <w:divBdr>
        <w:top w:val="none" w:sz="0" w:space="0" w:color="auto"/>
        <w:left w:val="none" w:sz="0" w:space="0" w:color="auto"/>
        <w:bottom w:val="none" w:sz="0" w:space="0" w:color="auto"/>
        <w:right w:val="none" w:sz="0" w:space="0" w:color="auto"/>
      </w:divBdr>
    </w:div>
    <w:div w:id="1137377451">
      <w:bodyDiv w:val="1"/>
      <w:marLeft w:val="0"/>
      <w:marRight w:val="0"/>
      <w:marTop w:val="0"/>
      <w:marBottom w:val="0"/>
      <w:divBdr>
        <w:top w:val="none" w:sz="0" w:space="0" w:color="auto"/>
        <w:left w:val="none" w:sz="0" w:space="0" w:color="auto"/>
        <w:bottom w:val="none" w:sz="0" w:space="0" w:color="auto"/>
        <w:right w:val="none" w:sz="0" w:space="0" w:color="auto"/>
      </w:divBdr>
    </w:div>
    <w:div w:id="1144002939">
      <w:bodyDiv w:val="1"/>
      <w:marLeft w:val="0"/>
      <w:marRight w:val="0"/>
      <w:marTop w:val="0"/>
      <w:marBottom w:val="0"/>
      <w:divBdr>
        <w:top w:val="none" w:sz="0" w:space="0" w:color="auto"/>
        <w:left w:val="none" w:sz="0" w:space="0" w:color="auto"/>
        <w:bottom w:val="none" w:sz="0" w:space="0" w:color="auto"/>
        <w:right w:val="none" w:sz="0" w:space="0" w:color="auto"/>
      </w:divBdr>
    </w:div>
    <w:div w:id="1157303035">
      <w:bodyDiv w:val="1"/>
      <w:marLeft w:val="0"/>
      <w:marRight w:val="0"/>
      <w:marTop w:val="0"/>
      <w:marBottom w:val="0"/>
      <w:divBdr>
        <w:top w:val="none" w:sz="0" w:space="0" w:color="auto"/>
        <w:left w:val="none" w:sz="0" w:space="0" w:color="auto"/>
        <w:bottom w:val="none" w:sz="0" w:space="0" w:color="auto"/>
        <w:right w:val="none" w:sz="0" w:space="0" w:color="auto"/>
      </w:divBdr>
      <w:divsChild>
        <w:div w:id="438529682">
          <w:marLeft w:val="1166"/>
          <w:marRight w:val="0"/>
          <w:marTop w:val="125"/>
          <w:marBottom w:val="0"/>
          <w:divBdr>
            <w:top w:val="none" w:sz="0" w:space="0" w:color="auto"/>
            <w:left w:val="none" w:sz="0" w:space="0" w:color="auto"/>
            <w:bottom w:val="none" w:sz="0" w:space="0" w:color="auto"/>
            <w:right w:val="none" w:sz="0" w:space="0" w:color="auto"/>
          </w:divBdr>
        </w:div>
        <w:div w:id="475030160">
          <w:marLeft w:val="547"/>
          <w:marRight w:val="0"/>
          <w:marTop w:val="144"/>
          <w:marBottom w:val="0"/>
          <w:divBdr>
            <w:top w:val="none" w:sz="0" w:space="0" w:color="auto"/>
            <w:left w:val="none" w:sz="0" w:space="0" w:color="auto"/>
            <w:bottom w:val="none" w:sz="0" w:space="0" w:color="auto"/>
            <w:right w:val="none" w:sz="0" w:space="0" w:color="auto"/>
          </w:divBdr>
        </w:div>
        <w:div w:id="1158812210">
          <w:marLeft w:val="1166"/>
          <w:marRight w:val="0"/>
          <w:marTop w:val="125"/>
          <w:marBottom w:val="0"/>
          <w:divBdr>
            <w:top w:val="none" w:sz="0" w:space="0" w:color="auto"/>
            <w:left w:val="none" w:sz="0" w:space="0" w:color="auto"/>
            <w:bottom w:val="none" w:sz="0" w:space="0" w:color="auto"/>
            <w:right w:val="none" w:sz="0" w:space="0" w:color="auto"/>
          </w:divBdr>
        </w:div>
        <w:div w:id="1599604937">
          <w:marLeft w:val="547"/>
          <w:marRight w:val="0"/>
          <w:marTop w:val="144"/>
          <w:marBottom w:val="0"/>
          <w:divBdr>
            <w:top w:val="none" w:sz="0" w:space="0" w:color="auto"/>
            <w:left w:val="none" w:sz="0" w:space="0" w:color="auto"/>
            <w:bottom w:val="none" w:sz="0" w:space="0" w:color="auto"/>
            <w:right w:val="none" w:sz="0" w:space="0" w:color="auto"/>
          </w:divBdr>
        </w:div>
        <w:div w:id="1832453474">
          <w:marLeft w:val="1166"/>
          <w:marRight w:val="0"/>
          <w:marTop w:val="125"/>
          <w:marBottom w:val="0"/>
          <w:divBdr>
            <w:top w:val="none" w:sz="0" w:space="0" w:color="auto"/>
            <w:left w:val="none" w:sz="0" w:space="0" w:color="auto"/>
            <w:bottom w:val="none" w:sz="0" w:space="0" w:color="auto"/>
            <w:right w:val="none" w:sz="0" w:space="0" w:color="auto"/>
          </w:divBdr>
        </w:div>
        <w:div w:id="2044623206">
          <w:marLeft w:val="547"/>
          <w:marRight w:val="0"/>
          <w:marTop w:val="144"/>
          <w:marBottom w:val="0"/>
          <w:divBdr>
            <w:top w:val="none" w:sz="0" w:space="0" w:color="auto"/>
            <w:left w:val="none" w:sz="0" w:space="0" w:color="auto"/>
            <w:bottom w:val="none" w:sz="0" w:space="0" w:color="auto"/>
            <w:right w:val="none" w:sz="0" w:space="0" w:color="auto"/>
          </w:divBdr>
        </w:div>
      </w:divsChild>
    </w:div>
    <w:div w:id="1174078100">
      <w:bodyDiv w:val="1"/>
      <w:marLeft w:val="0"/>
      <w:marRight w:val="0"/>
      <w:marTop w:val="0"/>
      <w:marBottom w:val="0"/>
      <w:divBdr>
        <w:top w:val="none" w:sz="0" w:space="0" w:color="auto"/>
        <w:left w:val="none" w:sz="0" w:space="0" w:color="auto"/>
        <w:bottom w:val="none" w:sz="0" w:space="0" w:color="auto"/>
        <w:right w:val="none" w:sz="0" w:space="0" w:color="auto"/>
      </w:divBdr>
    </w:div>
    <w:div w:id="1218977215">
      <w:bodyDiv w:val="1"/>
      <w:marLeft w:val="0"/>
      <w:marRight w:val="0"/>
      <w:marTop w:val="0"/>
      <w:marBottom w:val="0"/>
      <w:divBdr>
        <w:top w:val="none" w:sz="0" w:space="0" w:color="auto"/>
        <w:left w:val="none" w:sz="0" w:space="0" w:color="auto"/>
        <w:bottom w:val="none" w:sz="0" w:space="0" w:color="auto"/>
        <w:right w:val="none" w:sz="0" w:space="0" w:color="auto"/>
      </w:divBdr>
    </w:div>
    <w:div w:id="1226138018">
      <w:bodyDiv w:val="1"/>
      <w:marLeft w:val="0"/>
      <w:marRight w:val="0"/>
      <w:marTop w:val="0"/>
      <w:marBottom w:val="0"/>
      <w:divBdr>
        <w:top w:val="none" w:sz="0" w:space="0" w:color="auto"/>
        <w:left w:val="none" w:sz="0" w:space="0" w:color="auto"/>
        <w:bottom w:val="none" w:sz="0" w:space="0" w:color="auto"/>
        <w:right w:val="none" w:sz="0" w:space="0" w:color="auto"/>
      </w:divBdr>
    </w:div>
    <w:div w:id="1227649043">
      <w:bodyDiv w:val="1"/>
      <w:marLeft w:val="0"/>
      <w:marRight w:val="0"/>
      <w:marTop w:val="0"/>
      <w:marBottom w:val="0"/>
      <w:divBdr>
        <w:top w:val="none" w:sz="0" w:space="0" w:color="auto"/>
        <w:left w:val="none" w:sz="0" w:space="0" w:color="auto"/>
        <w:bottom w:val="none" w:sz="0" w:space="0" w:color="auto"/>
        <w:right w:val="none" w:sz="0" w:space="0" w:color="auto"/>
      </w:divBdr>
    </w:div>
    <w:div w:id="1251309298">
      <w:bodyDiv w:val="1"/>
      <w:marLeft w:val="0"/>
      <w:marRight w:val="0"/>
      <w:marTop w:val="0"/>
      <w:marBottom w:val="0"/>
      <w:divBdr>
        <w:top w:val="none" w:sz="0" w:space="0" w:color="auto"/>
        <w:left w:val="none" w:sz="0" w:space="0" w:color="auto"/>
        <w:bottom w:val="none" w:sz="0" w:space="0" w:color="auto"/>
        <w:right w:val="none" w:sz="0" w:space="0" w:color="auto"/>
      </w:divBdr>
    </w:div>
    <w:div w:id="1256746437">
      <w:bodyDiv w:val="1"/>
      <w:marLeft w:val="0"/>
      <w:marRight w:val="0"/>
      <w:marTop w:val="0"/>
      <w:marBottom w:val="0"/>
      <w:divBdr>
        <w:top w:val="none" w:sz="0" w:space="0" w:color="auto"/>
        <w:left w:val="none" w:sz="0" w:space="0" w:color="auto"/>
        <w:bottom w:val="none" w:sz="0" w:space="0" w:color="auto"/>
        <w:right w:val="none" w:sz="0" w:space="0" w:color="auto"/>
      </w:divBdr>
      <w:divsChild>
        <w:div w:id="1961259825">
          <w:marLeft w:val="547"/>
          <w:marRight w:val="0"/>
          <w:marTop w:val="106"/>
          <w:marBottom w:val="0"/>
          <w:divBdr>
            <w:top w:val="none" w:sz="0" w:space="0" w:color="auto"/>
            <w:left w:val="none" w:sz="0" w:space="0" w:color="auto"/>
            <w:bottom w:val="none" w:sz="0" w:space="0" w:color="auto"/>
            <w:right w:val="none" w:sz="0" w:space="0" w:color="auto"/>
          </w:divBdr>
        </w:div>
      </w:divsChild>
    </w:div>
    <w:div w:id="1271474735">
      <w:bodyDiv w:val="1"/>
      <w:marLeft w:val="0"/>
      <w:marRight w:val="0"/>
      <w:marTop w:val="0"/>
      <w:marBottom w:val="0"/>
      <w:divBdr>
        <w:top w:val="none" w:sz="0" w:space="0" w:color="auto"/>
        <w:left w:val="none" w:sz="0" w:space="0" w:color="auto"/>
        <w:bottom w:val="none" w:sz="0" w:space="0" w:color="auto"/>
        <w:right w:val="none" w:sz="0" w:space="0" w:color="auto"/>
      </w:divBdr>
      <w:divsChild>
        <w:div w:id="902830878">
          <w:marLeft w:val="547"/>
          <w:marRight w:val="0"/>
          <w:marTop w:val="106"/>
          <w:marBottom w:val="0"/>
          <w:divBdr>
            <w:top w:val="none" w:sz="0" w:space="0" w:color="auto"/>
            <w:left w:val="none" w:sz="0" w:space="0" w:color="auto"/>
            <w:bottom w:val="none" w:sz="0" w:space="0" w:color="auto"/>
            <w:right w:val="none" w:sz="0" w:space="0" w:color="auto"/>
          </w:divBdr>
        </w:div>
      </w:divsChild>
    </w:div>
    <w:div w:id="1281255758">
      <w:bodyDiv w:val="1"/>
      <w:marLeft w:val="0"/>
      <w:marRight w:val="0"/>
      <w:marTop w:val="0"/>
      <w:marBottom w:val="0"/>
      <w:divBdr>
        <w:top w:val="none" w:sz="0" w:space="0" w:color="auto"/>
        <w:left w:val="none" w:sz="0" w:space="0" w:color="auto"/>
        <w:bottom w:val="none" w:sz="0" w:space="0" w:color="auto"/>
        <w:right w:val="none" w:sz="0" w:space="0" w:color="auto"/>
      </w:divBdr>
      <w:divsChild>
        <w:div w:id="188956371">
          <w:marLeft w:val="547"/>
          <w:marRight w:val="0"/>
          <w:marTop w:val="106"/>
          <w:marBottom w:val="0"/>
          <w:divBdr>
            <w:top w:val="none" w:sz="0" w:space="0" w:color="auto"/>
            <w:left w:val="none" w:sz="0" w:space="0" w:color="auto"/>
            <w:bottom w:val="none" w:sz="0" w:space="0" w:color="auto"/>
            <w:right w:val="none" w:sz="0" w:space="0" w:color="auto"/>
          </w:divBdr>
        </w:div>
      </w:divsChild>
    </w:div>
    <w:div w:id="1282111350">
      <w:bodyDiv w:val="1"/>
      <w:marLeft w:val="0"/>
      <w:marRight w:val="0"/>
      <w:marTop w:val="0"/>
      <w:marBottom w:val="0"/>
      <w:divBdr>
        <w:top w:val="none" w:sz="0" w:space="0" w:color="auto"/>
        <w:left w:val="none" w:sz="0" w:space="0" w:color="auto"/>
        <w:bottom w:val="none" w:sz="0" w:space="0" w:color="auto"/>
        <w:right w:val="none" w:sz="0" w:space="0" w:color="auto"/>
      </w:divBdr>
    </w:div>
    <w:div w:id="1301110895">
      <w:bodyDiv w:val="1"/>
      <w:marLeft w:val="0"/>
      <w:marRight w:val="0"/>
      <w:marTop w:val="0"/>
      <w:marBottom w:val="0"/>
      <w:divBdr>
        <w:top w:val="none" w:sz="0" w:space="0" w:color="auto"/>
        <w:left w:val="none" w:sz="0" w:space="0" w:color="auto"/>
        <w:bottom w:val="none" w:sz="0" w:space="0" w:color="auto"/>
        <w:right w:val="none" w:sz="0" w:space="0" w:color="auto"/>
      </w:divBdr>
    </w:div>
    <w:div w:id="1376009552">
      <w:bodyDiv w:val="1"/>
      <w:marLeft w:val="0"/>
      <w:marRight w:val="0"/>
      <w:marTop w:val="0"/>
      <w:marBottom w:val="0"/>
      <w:divBdr>
        <w:top w:val="none" w:sz="0" w:space="0" w:color="auto"/>
        <w:left w:val="none" w:sz="0" w:space="0" w:color="auto"/>
        <w:bottom w:val="none" w:sz="0" w:space="0" w:color="auto"/>
        <w:right w:val="none" w:sz="0" w:space="0" w:color="auto"/>
      </w:divBdr>
    </w:div>
    <w:div w:id="1380863820">
      <w:bodyDiv w:val="1"/>
      <w:marLeft w:val="0"/>
      <w:marRight w:val="0"/>
      <w:marTop w:val="0"/>
      <w:marBottom w:val="0"/>
      <w:divBdr>
        <w:top w:val="none" w:sz="0" w:space="0" w:color="auto"/>
        <w:left w:val="none" w:sz="0" w:space="0" w:color="auto"/>
        <w:bottom w:val="none" w:sz="0" w:space="0" w:color="auto"/>
        <w:right w:val="none" w:sz="0" w:space="0" w:color="auto"/>
      </w:divBdr>
    </w:div>
    <w:div w:id="1394813258">
      <w:bodyDiv w:val="1"/>
      <w:marLeft w:val="0"/>
      <w:marRight w:val="0"/>
      <w:marTop w:val="0"/>
      <w:marBottom w:val="0"/>
      <w:divBdr>
        <w:top w:val="none" w:sz="0" w:space="0" w:color="auto"/>
        <w:left w:val="none" w:sz="0" w:space="0" w:color="auto"/>
        <w:bottom w:val="none" w:sz="0" w:space="0" w:color="auto"/>
        <w:right w:val="none" w:sz="0" w:space="0" w:color="auto"/>
      </w:divBdr>
    </w:div>
    <w:div w:id="1400471023">
      <w:bodyDiv w:val="1"/>
      <w:marLeft w:val="0"/>
      <w:marRight w:val="0"/>
      <w:marTop w:val="0"/>
      <w:marBottom w:val="0"/>
      <w:divBdr>
        <w:top w:val="none" w:sz="0" w:space="0" w:color="auto"/>
        <w:left w:val="none" w:sz="0" w:space="0" w:color="auto"/>
        <w:bottom w:val="none" w:sz="0" w:space="0" w:color="auto"/>
        <w:right w:val="none" w:sz="0" w:space="0" w:color="auto"/>
      </w:divBdr>
      <w:divsChild>
        <w:div w:id="209459558">
          <w:marLeft w:val="547"/>
          <w:marRight w:val="0"/>
          <w:marTop w:val="0"/>
          <w:marBottom w:val="144"/>
          <w:divBdr>
            <w:top w:val="none" w:sz="0" w:space="0" w:color="auto"/>
            <w:left w:val="none" w:sz="0" w:space="0" w:color="auto"/>
            <w:bottom w:val="none" w:sz="0" w:space="0" w:color="auto"/>
            <w:right w:val="none" w:sz="0" w:space="0" w:color="auto"/>
          </w:divBdr>
        </w:div>
        <w:div w:id="822359356">
          <w:marLeft w:val="1166"/>
          <w:marRight w:val="0"/>
          <w:marTop w:val="0"/>
          <w:marBottom w:val="120"/>
          <w:divBdr>
            <w:top w:val="none" w:sz="0" w:space="0" w:color="auto"/>
            <w:left w:val="none" w:sz="0" w:space="0" w:color="auto"/>
            <w:bottom w:val="none" w:sz="0" w:space="0" w:color="auto"/>
            <w:right w:val="none" w:sz="0" w:space="0" w:color="auto"/>
          </w:divBdr>
        </w:div>
        <w:div w:id="918976785">
          <w:marLeft w:val="547"/>
          <w:marRight w:val="0"/>
          <w:marTop w:val="0"/>
          <w:marBottom w:val="144"/>
          <w:divBdr>
            <w:top w:val="none" w:sz="0" w:space="0" w:color="auto"/>
            <w:left w:val="none" w:sz="0" w:space="0" w:color="auto"/>
            <w:bottom w:val="none" w:sz="0" w:space="0" w:color="auto"/>
            <w:right w:val="none" w:sz="0" w:space="0" w:color="auto"/>
          </w:divBdr>
        </w:div>
        <w:div w:id="1277910835">
          <w:marLeft w:val="547"/>
          <w:marRight w:val="0"/>
          <w:marTop w:val="0"/>
          <w:marBottom w:val="144"/>
          <w:divBdr>
            <w:top w:val="none" w:sz="0" w:space="0" w:color="auto"/>
            <w:left w:val="none" w:sz="0" w:space="0" w:color="auto"/>
            <w:bottom w:val="none" w:sz="0" w:space="0" w:color="auto"/>
            <w:right w:val="none" w:sz="0" w:space="0" w:color="auto"/>
          </w:divBdr>
        </w:div>
        <w:div w:id="1337733477">
          <w:marLeft w:val="547"/>
          <w:marRight w:val="0"/>
          <w:marTop w:val="0"/>
          <w:marBottom w:val="144"/>
          <w:divBdr>
            <w:top w:val="none" w:sz="0" w:space="0" w:color="auto"/>
            <w:left w:val="none" w:sz="0" w:space="0" w:color="auto"/>
            <w:bottom w:val="none" w:sz="0" w:space="0" w:color="auto"/>
            <w:right w:val="none" w:sz="0" w:space="0" w:color="auto"/>
          </w:divBdr>
        </w:div>
        <w:div w:id="1393966758">
          <w:marLeft w:val="547"/>
          <w:marRight w:val="0"/>
          <w:marTop w:val="0"/>
          <w:marBottom w:val="144"/>
          <w:divBdr>
            <w:top w:val="none" w:sz="0" w:space="0" w:color="auto"/>
            <w:left w:val="none" w:sz="0" w:space="0" w:color="auto"/>
            <w:bottom w:val="none" w:sz="0" w:space="0" w:color="auto"/>
            <w:right w:val="none" w:sz="0" w:space="0" w:color="auto"/>
          </w:divBdr>
        </w:div>
        <w:div w:id="1982270530">
          <w:marLeft w:val="547"/>
          <w:marRight w:val="0"/>
          <w:marTop w:val="0"/>
          <w:marBottom w:val="144"/>
          <w:divBdr>
            <w:top w:val="none" w:sz="0" w:space="0" w:color="auto"/>
            <w:left w:val="none" w:sz="0" w:space="0" w:color="auto"/>
            <w:bottom w:val="none" w:sz="0" w:space="0" w:color="auto"/>
            <w:right w:val="none" w:sz="0" w:space="0" w:color="auto"/>
          </w:divBdr>
        </w:div>
        <w:div w:id="2036731913">
          <w:marLeft w:val="547"/>
          <w:marRight w:val="0"/>
          <w:marTop w:val="0"/>
          <w:marBottom w:val="144"/>
          <w:divBdr>
            <w:top w:val="none" w:sz="0" w:space="0" w:color="auto"/>
            <w:left w:val="none" w:sz="0" w:space="0" w:color="auto"/>
            <w:bottom w:val="none" w:sz="0" w:space="0" w:color="auto"/>
            <w:right w:val="none" w:sz="0" w:space="0" w:color="auto"/>
          </w:divBdr>
        </w:div>
        <w:div w:id="2119643492">
          <w:marLeft w:val="547"/>
          <w:marRight w:val="0"/>
          <w:marTop w:val="0"/>
          <w:marBottom w:val="144"/>
          <w:divBdr>
            <w:top w:val="none" w:sz="0" w:space="0" w:color="auto"/>
            <w:left w:val="none" w:sz="0" w:space="0" w:color="auto"/>
            <w:bottom w:val="none" w:sz="0" w:space="0" w:color="auto"/>
            <w:right w:val="none" w:sz="0" w:space="0" w:color="auto"/>
          </w:divBdr>
        </w:div>
        <w:div w:id="2131968937">
          <w:marLeft w:val="547"/>
          <w:marRight w:val="0"/>
          <w:marTop w:val="0"/>
          <w:marBottom w:val="144"/>
          <w:divBdr>
            <w:top w:val="none" w:sz="0" w:space="0" w:color="auto"/>
            <w:left w:val="none" w:sz="0" w:space="0" w:color="auto"/>
            <w:bottom w:val="none" w:sz="0" w:space="0" w:color="auto"/>
            <w:right w:val="none" w:sz="0" w:space="0" w:color="auto"/>
          </w:divBdr>
        </w:div>
      </w:divsChild>
    </w:div>
    <w:div w:id="1410151820">
      <w:bodyDiv w:val="1"/>
      <w:marLeft w:val="0"/>
      <w:marRight w:val="0"/>
      <w:marTop w:val="0"/>
      <w:marBottom w:val="0"/>
      <w:divBdr>
        <w:top w:val="none" w:sz="0" w:space="0" w:color="auto"/>
        <w:left w:val="none" w:sz="0" w:space="0" w:color="auto"/>
        <w:bottom w:val="none" w:sz="0" w:space="0" w:color="auto"/>
        <w:right w:val="none" w:sz="0" w:space="0" w:color="auto"/>
      </w:divBdr>
    </w:div>
    <w:div w:id="1426459656">
      <w:bodyDiv w:val="1"/>
      <w:marLeft w:val="0"/>
      <w:marRight w:val="0"/>
      <w:marTop w:val="0"/>
      <w:marBottom w:val="0"/>
      <w:divBdr>
        <w:top w:val="none" w:sz="0" w:space="0" w:color="auto"/>
        <w:left w:val="none" w:sz="0" w:space="0" w:color="auto"/>
        <w:bottom w:val="none" w:sz="0" w:space="0" w:color="auto"/>
        <w:right w:val="none" w:sz="0" w:space="0" w:color="auto"/>
      </w:divBdr>
      <w:divsChild>
        <w:div w:id="448284642">
          <w:marLeft w:val="274"/>
          <w:marRight w:val="0"/>
          <w:marTop w:val="0"/>
          <w:marBottom w:val="100"/>
          <w:divBdr>
            <w:top w:val="none" w:sz="0" w:space="0" w:color="auto"/>
            <w:left w:val="none" w:sz="0" w:space="0" w:color="auto"/>
            <w:bottom w:val="none" w:sz="0" w:space="0" w:color="auto"/>
            <w:right w:val="none" w:sz="0" w:space="0" w:color="auto"/>
          </w:divBdr>
        </w:div>
      </w:divsChild>
    </w:div>
    <w:div w:id="1434088149">
      <w:bodyDiv w:val="1"/>
      <w:marLeft w:val="0"/>
      <w:marRight w:val="0"/>
      <w:marTop w:val="0"/>
      <w:marBottom w:val="0"/>
      <w:divBdr>
        <w:top w:val="none" w:sz="0" w:space="0" w:color="auto"/>
        <w:left w:val="none" w:sz="0" w:space="0" w:color="auto"/>
        <w:bottom w:val="none" w:sz="0" w:space="0" w:color="auto"/>
        <w:right w:val="none" w:sz="0" w:space="0" w:color="auto"/>
      </w:divBdr>
    </w:div>
    <w:div w:id="1453015481">
      <w:bodyDiv w:val="1"/>
      <w:marLeft w:val="0"/>
      <w:marRight w:val="0"/>
      <w:marTop w:val="0"/>
      <w:marBottom w:val="0"/>
      <w:divBdr>
        <w:top w:val="none" w:sz="0" w:space="0" w:color="auto"/>
        <w:left w:val="none" w:sz="0" w:space="0" w:color="auto"/>
        <w:bottom w:val="none" w:sz="0" w:space="0" w:color="auto"/>
        <w:right w:val="none" w:sz="0" w:space="0" w:color="auto"/>
      </w:divBdr>
    </w:div>
    <w:div w:id="1465345394">
      <w:bodyDiv w:val="1"/>
      <w:marLeft w:val="0"/>
      <w:marRight w:val="0"/>
      <w:marTop w:val="0"/>
      <w:marBottom w:val="0"/>
      <w:divBdr>
        <w:top w:val="none" w:sz="0" w:space="0" w:color="auto"/>
        <w:left w:val="none" w:sz="0" w:space="0" w:color="auto"/>
        <w:bottom w:val="none" w:sz="0" w:space="0" w:color="auto"/>
        <w:right w:val="none" w:sz="0" w:space="0" w:color="auto"/>
      </w:divBdr>
    </w:div>
    <w:div w:id="1466698466">
      <w:bodyDiv w:val="1"/>
      <w:marLeft w:val="0"/>
      <w:marRight w:val="0"/>
      <w:marTop w:val="0"/>
      <w:marBottom w:val="0"/>
      <w:divBdr>
        <w:top w:val="none" w:sz="0" w:space="0" w:color="auto"/>
        <w:left w:val="none" w:sz="0" w:space="0" w:color="auto"/>
        <w:bottom w:val="none" w:sz="0" w:space="0" w:color="auto"/>
        <w:right w:val="none" w:sz="0" w:space="0" w:color="auto"/>
      </w:divBdr>
    </w:div>
    <w:div w:id="1482233244">
      <w:bodyDiv w:val="1"/>
      <w:marLeft w:val="0"/>
      <w:marRight w:val="0"/>
      <w:marTop w:val="0"/>
      <w:marBottom w:val="0"/>
      <w:divBdr>
        <w:top w:val="none" w:sz="0" w:space="0" w:color="auto"/>
        <w:left w:val="none" w:sz="0" w:space="0" w:color="auto"/>
        <w:bottom w:val="none" w:sz="0" w:space="0" w:color="auto"/>
        <w:right w:val="none" w:sz="0" w:space="0" w:color="auto"/>
      </w:divBdr>
      <w:divsChild>
        <w:div w:id="1634016987">
          <w:marLeft w:val="1166"/>
          <w:marRight w:val="0"/>
          <w:marTop w:val="134"/>
          <w:marBottom w:val="0"/>
          <w:divBdr>
            <w:top w:val="none" w:sz="0" w:space="0" w:color="auto"/>
            <w:left w:val="none" w:sz="0" w:space="0" w:color="auto"/>
            <w:bottom w:val="none" w:sz="0" w:space="0" w:color="auto"/>
            <w:right w:val="none" w:sz="0" w:space="0" w:color="auto"/>
          </w:divBdr>
        </w:div>
      </w:divsChild>
    </w:div>
    <w:div w:id="1490249395">
      <w:bodyDiv w:val="1"/>
      <w:marLeft w:val="0"/>
      <w:marRight w:val="0"/>
      <w:marTop w:val="0"/>
      <w:marBottom w:val="0"/>
      <w:divBdr>
        <w:top w:val="none" w:sz="0" w:space="0" w:color="auto"/>
        <w:left w:val="none" w:sz="0" w:space="0" w:color="auto"/>
        <w:bottom w:val="none" w:sz="0" w:space="0" w:color="auto"/>
        <w:right w:val="none" w:sz="0" w:space="0" w:color="auto"/>
      </w:divBdr>
    </w:div>
    <w:div w:id="1538660036">
      <w:bodyDiv w:val="1"/>
      <w:marLeft w:val="0"/>
      <w:marRight w:val="0"/>
      <w:marTop w:val="0"/>
      <w:marBottom w:val="0"/>
      <w:divBdr>
        <w:top w:val="none" w:sz="0" w:space="0" w:color="auto"/>
        <w:left w:val="none" w:sz="0" w:space="0" w:color="auto"/>
        <w:bottom w:val="none" w:sz="0" w:space="0" w:color="auto"/>
        <w:right w:val="none" w:sz="0" w:space="0" w:color="auto"/>
      </w:divBdr>
      <w:divsChild>
        <w:div w:id="320545947">
          <w:marLeft w:val="1166"/>
          <w:marRight w:val="0"/>
          <w:marTop w:val="134"/>
          <w:marBottom w:val="0"/>
          <w:divBdr>
            <w:top w:val="none" w:sz="0" w:space="0" w:color="auto"/>
            <w:left w:val="none" w:sz="0" w:space="0" w:color="auto"/>
            <w:bottom w:val="none" w:sz="0" w:space="0" w:color="auto"/>
            <w:right w:val="none" w:sz="0" w:space="0" w:color="auto"/>
          </w:divBdr>
        </w:div>
        <w:div w:id="427235610">
          <w:marLeft w:val="547"/>
          <w:marRight w:val="0"/>
          <w:marTop w:val="154"/>
          <w:marBottom w:val="0"/>
          <w:divBdr>
            <w:top w:val="none" w:sz="0" w:space="0" w:color="auto"/>
            <w:left w:val="none" w:sz="0" w:space="0" w:color="auto"/>
            <w:bottom w:val="none" w:sz="0" w:space="0" w:color="auto"/>
            <w:right w:val="none" w:sz="0" w:space="0" w:color="auto"/>
          </w:divBdr>
        </w:div>
        <w:div w:id="499471247">
          <w:marLeft w:val="1166"/>
          <w:marRight w:val="0"/>
          <w:marTop w:val="134"/>
          <w:marBottom w:val="0"/>
          <w:divBdr>
            <w:top w:val="none" w:sz="0" w:space="0" w:color="auto"/>
            <w:left w:val="none" w:sz="0" w:space="0" w:color="auto"/>
            <w:bottom w:val="none" w:sz="0" w:space="0" w:color="auto"/>
            <w:right w:val="none" w:sz="0" w:space="0" w:color="auto"/>
          </w:divBdr>
        </w:div>
        <w:div w:id="662702829">
          <w:marLeft w:val="547"/>
          <w:marRight w:val="0"/>
          <w:marTop w:val="154"/>
          <w:marBottom w:val="0"/>
          <w:divBdr>
            <w:top w:val="none" w:sz="0" w:space="0" w:color="auto"/>
            <w:left w:val="none" w:sz="0" w:space="0" w:color="auto"/>
            <w:bottom w:val="none" w:sz="0" w:space="0" w:color="auto"/>
            <w:right w:val="none" w:sz="0" w:space="0" w:color="auto"/>
          </w:divBdr>
        </w:div>
        <w:div w:id="851116138">
          <w:marLeft w:val="1166"/>
          <w:marRight w:val="0"/>
          <w:marTop w:val="134"/>
          <w:marBottom w:val="0"/>
          <w:divBdr>
            <w:top w:val="none" w:sz="0" w:space="0" w:color="auto"/>
            <w:left w:val="none" w:sz="0" w:space="0" w:color="auto"/>
            <w:bottom w:val="none" w:sz="0" w:space="0" w:color="auto"/>
            <w:right w:val="none" w:sz="0" w:space="0" w:color="auto"/>
          </w:divBdr>
        </w:div>
        <w:div w:id="1010568744">
          <w:marLeft w:val="1166"/>
          <w:marRight w:val="0"/>
          <w:marTop w:val="134"/>
          <w:marBottom w:val="0"/>
          <w:divBdr>
            <w:top w:val="none" w:sz="0" w:space="0" w:color="auto"/>
            <w:left w:val="none" w:sz="0" w:space="0" w:color="auto"/>
            <w:bottom w:val="none" w:sz="0" w:space="0" w:color="auto"/>
            <w:right w:val="none" w:sz="0" w:space="0" w:color="auto"/>
          </w:divBdr>
        </w:div>
        <w:div w:id="1747872677">
          <w:marLeft w:val="547"/>
          <w:marRight w:val="0"/>
          <w:marTop w:val="154"/>
          <w:marBottom w:val="0"/>
          <w:divBdr>
            <w:top w:val="none" w:sz="0" w:space="0" w:color="auto"/>
            <w:left w:val="none" w:sz="0" w:space="0" w:color="auto"/>
            <w:bottom w:val="none" w:sz="0" w:space="0" w:color="auto"/>
            <w:right w:val="none" w:sz="0" w:space="0" w:color="auto"/>
          </w:divBdr>
        </w:div>
      </w:divsChild>
    </w:div>
    <w:div w:id="1557666721">
      <w:bodyDiv w:val="1"/>
      <w:marLeft w:val="0"/>
      <w:marRight w:val="0"/>
      <w:marTop w:val="0"/>
      <w:marBottom w:val="0"/>
      <w:divBdr>
        <w:top w:val="none" w:sz="0" w:space="0" w:color="auto"/>
        <w:left w:val="none" w:sz="0" w:space="0" w:color="auto"/>
        <w:bottom w:val="none" w:sz="0" w:space="0" w:color="auto"/>
        <w:right w:val="none" w:sz="0" w:space="0" w:color="auto"/>
      </w:divBdr>
      <w:divsChild>
        <w:div w:id="1234466693">
          <w:marLeft w:val="547"/>
          <w:marRight w:val="0"/>
          <w:marTop w:val="106"/>
          <w:marBottom w:val="0"/>
          <w:divBdr>
            <w:top w:val="none" w:sz="0" w:space="0" w:color="auto"/>
            <w:left w:val="none" w:sz="0" w:space="0" w:color="auto"/>
            <w:bottom w:val="none" w:sz="0" w:space="0" w:color="auto"/>
            <w:right w:val="none" w:sz="0" w:space="0" w:color="auto"/>
          </w:divBdr>
        </w:div>
      </w:divsChild>
    </w:div>
    <w:div w:id="1567032942">
      <w:bodyDiv w:val="1"/>
      <w:marLeft w:val="0"/>
      <w:marRight w:val="0"/>
      <w:marTop w:val="0"/>
      <w:marBottom w:val="0"/>
      <w:divBdr>
        <w:top w:val="none" w:sz="0" w:space="0" w:color="auto"/>
        <w:left w:val="none" w:sz="0" w:space="0" w:color="auto"/>
        <w:bottom w:val="none" w:sz="0" w:space="0" w:color="auto"/>
        <w:right w:val="none" w:sz="0" w:space="0" w:color="auto"/>
      </w:divBdr>
    </w:div>
    <w:div w:id="1570580812">
      <w:bodyDiv w:val="1"/>
      <w:marLeft w:val="0"/>
      <w:marRight w:val="0"/>
      <w:marTop w:val="0"/>
      <w:marBottom w:val="0"/>
      <w:divBdr>
        <w:top w:val="none" w:sz="0" w:space="0" w:color="auto"/>
        <w:left w:val="none" w:sz="0" w:space="0" w:color="auto"/>
        <w:bottom w:val="none" w:sz="0" w:space="0" w:color="auto"/>
        <w:right w:val="none" w:sz="0" w:space="0" w:color="auto"/>
      </w:divBdr>
    </w:div>
    <w:div w:id="1584295988">
      <w:bodyDiv w:val="1"/>
      <w:marLeft w:val="0"/>
      <w:marRight w:val="0"/>
      <w:marTop w:val="0"/>
      <w:marBottom w:val="0"/>
      <w:divBdr>
        <w:top w:val="none" w:sz="0" w:space="0" w:color="auto"/>
        <w:left w:val="none" w:sz="0" w:space="0" w:color="auto"/>
        <w:bottom w:val="none" w:sz="0" w:space="0" w:color="auto"/>
        <w:right w:val="none" w:sz="0" w:space="0" w:color="auto"/>
      </w:divBdr>
    </w:div>
    <w:div w:id="1630624053">
      <w:bodyDiv w:val="1"/>
      <w:marLeft w:val="0"/>
      <w:marRight w:val="0"/>
      <w:marTop w:val="0"/>
      <w:marBottom w:val="0"/>
      <w:divBdr>
        <w:top w:val="none" w:sz="0" w:space="0" w:color="auto"/>
        <w:left w:val="none" w:sz="0" w:space="0" w:color="auto"/>
        <w:bottom w:val="none" w:sz="0" w:space="0" w:color="auto"/>
        <w:right w:val="none" w:sz="0" w:space="0" w:color="auto"/>
      </w:divBdr>
      <w:divsChild>
        <w:div w:id="8608037">
          <w:marLeft w:val="0"/>
          <w:marRight w:val="0"/>
          <w:marTop w:val="0"/>
          <w:marBottom w:val="0"/>
          <w:divBdr>
            <w:top w:val="none" w:sz="0" w:space="0" w:color="auto"/>
            <w:left w:val="none" w:sz="0" w:space="0" w:color="auto"/>
            <w:bottom w:val="none" w:sz="0" w:space="0" w:color="auto"/>
            <w:right w:val="none" w:sz="0" w:space="0" w:color="auto"/>
          </w:divBdr>
        </w:div>
        <w:div w:id="22707910">
          <w:marLeft w:val="0"/>
          <w:marRight w:val="0"/>
          <w:marTop w:val="0"/>
          <w:marBottom w:val="0"/>
          <w:divBdr>
            <w:top w:val="none" w:sz="0" w:space="0" w:color="auto"/>
            <w:left w:val="none" w:sz="0" w:space="0" w:color="auto"/>
            <w:bottom w:val="none" w:sz="0" w:space="0" w:color="auto"/>
            <w:right w:val="none" w:sz="0" w:space="0" w:color="auto"/>
          </w:divBdr>
        </w:div>
        <w:div w:id="220559939">
          <w:marLeft w:val="0"/>
          <w:marRight w:val="0"/>
          <w:marTop w:val="0"/>
          <w:marBottom w:val="0"/>
          <w:divBdr>
            <w:top w:val="none" w:sz="0" w:space="0" w:color="auto"/>
            <w:left w:val="none" w:sz="0" w:space="0" w:color="auto"/>
            <w:bottom w:val="none" w:sz="0" w:space="0" w:color="auto"/>
            <w:right w:val="none" w:sz="0" w:space="0" w:color="auto"/>
          </w:divBdr>
        </w:div>
        <w:div w:id="359164505">
          <w:marLeft w:val="0"/>
          <w:marRight w:val="0"/>
          <w:marTop w:val="0"/>
          <w:marBottom w:val="0"/>
          <w:divBdr>
            <w:top w:val="none" w:sz="0" w:space="0" w:color="auto"/>
            <w:left w:val="none" w:sz="0" w:space="0" w:color="auto"/>
            <w:bottom w:val="none" w:sz="0" w:space="0" w:color="auto"/>
            <w:right w:val="none" w:sz="0" w:space="0" w:color="auto"/>
          </w:divBdr>
        </w:div>
        <w:div w:id="412775967">
          <w:marLeft w:val="0"/>
          <w:marRight w:val="0"/>
          <w:marTop w:val="0"/>
          <w:marBottom w:val="0"/>
          <w:divBdr>
            <w:top w:val="none" w:sz="0" w:space="0" w:color="auto"/>
            <w:left w:val="none" w:sz="0" w:space="0" w:color="auto"/>
            <w:bottom w:val="none" w:sz="0" w:space="0" w:color="auto"/>
            <w:right w:val="none" w:sz="0" w:space="0" w:color="auto"/>
          </w:divBdr>
        </w:div>
        <w:div w:id="435636191">
          <w:marLeft w:val="0"/>
          <w:marRight w:val="0"/>
          <w:marTop w:val="0"/>
          <w:marBottom w:val="0"/>
          <w:divBdr>
            <w:top w:val="none" w:sz="0" w:space="0" w:color="auto"/>
            <w:left w:val="none" w:sz="0" w:space="0" w:color="auto"/>
            <w:bottom w:val="none" w:sz="0" w:space="0" w:color="auto"/>
            <w:right w:val="none" w:sz="0" w:space="0" w:color="auto"/>
          </w:divBdr>
        </w:div>
        <w:div w:id="490222958">
          <w:marLeft w:val="0"/>
          <w:marRight w:val="0"/>
          <w:marTop w:val="0"/>
          <w:marBottom w:val="0"/>
          <w:divBdr>
            <w:top w:val="none" w:sz="0" w:space="0" w:color="auto"/>
            <w:left w:val="none" w:sz="0" w:space="0" w:color="auto"/>
            <w:bottom w:val="none" w:sz="0" w:space="0" w:color="auto"/>
            <w:right w:val="none" w:sz="0" w:space="0" w:color="auto"/>
          </w:divBdr>
        </w:div>
        <w:div w:id="573323414">
          <w:marLeft w:val="0"/>
          <w:marRight w:val="0"/>
          <w:marTop w:val="0"/>
          <w:marBottom w:val="0"/>
          <w:divBdr>
            <w:top w:val="none" w:sz="0" w:space="0" w:color="auto"/>
            <w:left w:val="none" w:sz="0" w:space="0" w:color="auto"/>
            <w:bottom w:val="none" w:sz="0" w:space="0" w:color="auto"/>
            <w:right w:val="none" w:sz="0" w:space="0" w:color="auto"/>
          </w:divBdr>
        </w:div>
        <w:div w:id="661080024">
          <w:marLeft w:val="0"/>
          <w:marRight w:val="0"/>
          <w:marTop w:val="0"/>
          <w:marBottom w:val="0"/>
          <w:divBdr>
            <w:top w:val="none" w:sz="0" w:space="0" w:color="auto"/>
            <w:left w:val="none" w:sz="0" w:space="0" w:color="auto"/>
            <w:bottom w:val="none" w:sz="0" w:space="0" w:color="auto"/>
            <w:right w:val="none" w:sz="0" w:space="0" w:color="auto"/>
          </w:divBdr>
        </w:div>
        <w:div w:id="903835810">
          <w:marLeft w:val="0"/>
          <w:marRight w:val="0"/>
          <w:marTop w:val="0"/>
          <w:marBottom w:val="0"/>
          <w:divBdr>
            <w:top w:val="none" w:sz="0" w:space="0" w:color="auto"/>
            <w:left w:val="none" w:sz="0" w:space="0" w:color="auto"/>
            <w:bottom w:val="none" w:sz="0" w:space="0" w:color="auto"/>
            <w:right w:val="none" w:sz="0" w:space="0" w:color="auto"/>
          </w:divBdr>
        </w:div>
        <w:div w:id="926420176">
          <w:marLeft w:val="0"/>
          <w:marRight w:val="0"/>
          <w:marTop w:val="0"/>
          <w:marBottom w:val="0"/>
          <w:divBdr>
            <w:top w:val="none" w:sz="0" w:space="0" w:color="auto"/>
            <w:left w:val="none" w:sz="0" w:space="0" w:color="auto"/>
            <w:bottom w:val="none" w:sz="0" w:space="0" w:color="auto"/>
            <w:right w:val="none" w:sz="0" w:space="0" w:color="auto"/>
          </w:divBdr>
        </w:div>
        <w:div w:id="1226406742">
          <w:marLeft w:val="0"/>
          <w:marRight w:val="0"/>
          <w:marTop w:val="0"/>
          <w:marBottom w:val="0"/>
          <w:divBdr>
            <w:top w:val="none" w:sz="0" w:space="0" w:color="auto"/>
            <w:left w:val="none" w:sz="0" w:space="0" w:color="auto"/>
            <w:bottom w:val="none" w:sz="0" w:space="0" w:color="auto"/>
            <w:right w:val="none" w:sz="0" w:space="0" w:color="auto"/>
          </w:divBdr>
        </w:div>
        <w:div w:id="1228683160">
          <w:marLeft w:val="0"/>
          <w:marRight w:val="0"/>
          <w:marTop w:val="0"/>
          <w:marBottom w:val="0"/>
          <w:divBdr>
            <w:top w:val="none" w:sz="0" w:space="0" w:color="auto"/>
            <w:left w:val="none" w:sz="0" w:space="0" w:color="auto"/>
            <w:bottom w:val="none" w:sz="0" w:space="0" w:color="auto"/>
            <w:right w:val="none" w:sz="0" w:space="0" w:color="auto"/>
          </w:divBdr>
        </w:div>
        <w:div w:id="1273173533">
          <w:marLeft w:val="0"/>
          <w:marRight w:val="0"/>
          <w:marTop w:val="0"/>
          <w:marBottom w:val="0"/>
          <w:divBdr>
            <w:top w:val="none" w:sz="0" w:space="0" w:color="auto"/>
            <w:left w:val="none" w:sz="0" w:space="0" w:color="auto"/>
            <w:bottom w:val="none" w:sz="0" w:space="0" w:color="auto"/>
            <w:right w:val="none" w:sz="0" w:space="0" w:color="auto"/>
          </w:divBdr>
        </w:div>
        <w:div w:id="1312519249">
          <w:marLeft w:val="0"/>
          <w:marRight w:val="0"/>
          <w:marTop w:val="0"/>
          <w:marBottom w:val="0"/>
          <w:divBdr>
            <w:top w:val="none" w:sz="0" w:space="0" w:color="auto"/>
            <w:left w:val="none" w:sz="0" w:space="0" w:color="auto"/>
            <w:bottom w:val="none" w:sz="0" w:space="0" w:color="auto"/>
            <w:right w:val="none" w:sz="0" w:space="0" w:color="auto"/>
          </w:divBdr>
        </w:div>
        <w:div w:id="1565948791">
          <w:marLeft w:val="0"/>
          <w:marRight w:val="0"/>
          <w:marTop w:val="0"/>
          <w:marBottom w:val="0"/>
          <w:divBdr>
            <w:top w:val="none" w:sz="0" w:space="0" w:color="auto"/>
            <w:left w:val="none" w:sz="0" w:space="0" w:color="auto"/>
            <w:bottom w:val="none" w:sz="0" w:space="0" w:color="auto"/>
            <w:right w:val="none" w:sz="0" w:space="0" w:color="auto"/>
          </w:divBdr>
        </w:div>
        <w:div w:id="1673724362">
          <w:marLeft w:val="0"/>
          <w:marRight w:val="0"/>
          <w:marTop w:val="0"/>
          <w:marBottom w:val="0"/>
          <w:divBdr>
            <w:top w:val="none" w:sz="0" w:space="0" w:color="auto"/>
            <w:left w:val="none" w:sz="0" w:space="0" w:color="auto"/>
            <w:bottom w:val="none" w:sz="0" w:space="0" w:color="auto"/>
            <w:right w:val="none" w:sz="0" w:space="0" w:color="auto"/>
          </w:divBdr>
        </w:div>
        <w:div w:id="1750729648">
          <w:marLeft w:val="0"/>
          <w:marRight w:val="0"/>
          <w:marTop w:val="0"/>
          <w:marBottom w:val="0"/>
          <w:divBdr>
            <w:top w:val="none" w:sz="0" w:space="0" w:color="auto"/>
            <w:left w:val="none" w:sz="0" w:space="0" w:color="auto"/>
            <w:bottom w:val="none" w:sz="0" w:space="0" w:color="auto"/>
            <w:right w:val="none" w:sz="0" w:space="0" w:color="auto"/>
          </w:divBdr>
        </w:div>
        <w:div w:id="1811944165">
          <w:marLeft w:val="0"/>
          <w:marRight w:val="0"/>
          <w:marTop w:val="0"/>
          <w:marBottom w:val="0"/>
          <w:divBdr>
            <w:top w:val="none" w:sz="0" w:space="0" w:color="auto"/>
            <w:left w:val="none" w:sz="0" w:space="0" w:color="auto"/>
            <w:bottom w:val="none" w:sz="0" w:space="0" w:color="auto"/>
            <w:right w:val="none" w:sz="0" w:space="0" w:color="auto"/>
          </w:divBdr>
        </w:div>
        <w:div w:id="2014338896">
          <w:marLeft w:val="0"/>
          <w:marRight w:val="0"/>
          <w:marTop w:val="0"/>
          <w:marBottom w:val="0"/>
          <w:divBdr>
            <w:top w:val="none" w:sz="0" w:space="0" w:color="auto"/>
            <w:left w:val="none" w:sz="0" w:space="0" w:color="auto"/>
            <w:bottom w:val="none" w:sz="0" w:space="0" w:color="auto"/>
            <w:right w:val="none" w:sz="0" w:space="0" w:color="auto"/>
          </w:divBdr>
        </w:div>
        <w:div w:id="2080589161">
          <w:marLeft w:val="0"/>
          <w:marRight w:val="0"/>
          <w:marTop w:val="0"/>
          <w:marBottom w:val="0"/>
          <w:divBdr>
            <w:top w:val="none" w:sz="0" w:space="0" w:color="auto"/>
            <w:left w:val="none" w:sz="0" w:space="0" w:color="auto"/>
            <w:bottom w:val="none" w:sz="0" w:space="0" w:color="auto"/>
            <w:right w:val="none" w:sz="0" w:space="0" w:color="auto"/>
          </w:divBdr>
        </w:div>
      </w:divsChild>
    </w:div>
    <w:div w:id="1632133146">
      <w:bodyDiv w:val="1"/>
      <w:marLeft w:val="0"/>
      <w:marRight w:val="0"/>
      <w:marTop w:val="0"/>
      <w:marBottom w:val="0"/>
      <w:divBdr>
        <w:top w:val="none" w:sz="0" w:space="0" w:color="auto"/>
        <w:left w:val="none" w:sz="0" w:space="0" w:color="auto"/>
        <w:bottom w:val="none" w:sz="0" w:space="0" w:color="auto"/>
        <w:right w:val="none" w:sz="0" w:space="0" w:color="auto"/>
      </w:divBdr>
    </w:div>
    <w:div w:id="1677682719">
      <w:bodyDiv w:val="1"/>
      <w:marLeft w:val="0"/>
      <w:marRight w:val="0"/>
      <w:marTop w:val="0"/>
      <w:marBottom w:val="0"/>
      <w:divBdr>
        <w:top w:val="none" w:sz="0" w:space="0" w:color="auto"/>
        <w:left w:val="none" w:sz="0" w:space="0" w:color="auto"/>
        <w:bottom w:val="none" w:sz="0" w:space="0" w:color="auto"/>
        <w:right w:val="none" w:sz="0" w:space="0" w:color="auto"/>
      </w:divBdr>
      <w:divsChild>
        <w:div w:id="57561260">
          <w:marLeft w:val="547"/>
          <w:marRight w:val="0"/>
          <w:marTop w:val="144"/>
          <w:marBottom w:val="0"/>
          <w:divBdr>
            <w:top w:val="none" w:sz="0" w:space="0" w:color="auto"/>
            <w:left w:val="none" w:sz="0" w:space="0" w:color="auto"/>
            <w:bottom w:val="none" w:sz="0" w:space="0" w:color="auto"/>
            <w:right w:val="none" w:sz="0" w:space="0" w:color="auto"/>
          </w:divBdr>
        </w:div>
        <w:div w:id="1023479465">
          <w:marLeft w:val="547"/>
          <w:marRight w:val="0"/>
          <w:marTop w:val="144"/>
          <w:marBottom w:val="0"/>
          <w:divBdr>
            <w:top w:val="none" w:sz="0" w:space="0" w:color="auto"/>
            <w:left w:val="none" w:sz="0" w:space="0" w:color="auto"/>
            <w:bottom w:val="none" w:sz="0" w:space="0" w:color="auto"/>
            <w:right w:val="none" w:sz="0" w:space="0" w:color="auto"/>
          </w:divBdr>
        </w:div>
        <w:div w:id="1069302178">
          <w:marLeft w:val="547"/>
          <w:marRight w:val="0"/>
          <w:marTop w:val="144"/>
          <w:marBottom w:val="0"/>
          <w:divBdr>
            <w:top w:val="none" w:sz="0" w:space="0" w:color="auto"/>
            <w:left w:val="none" w:sz="0" w:space="0" w:color="auto"/>
            <w:bottom w:val="none" w:sz="0" w:space="0" w:color="auto"/>
            <w:right w:val="none" w:sz="0" w:space="0" w:color="auto"/>
          </w:divBdr>
        </w:div>
        <w:div w:id="1198660023">
          <w:marLeft w:val="547"/>
          <w:marRight w:val="0"/>
          <w:marTop w:val="144"/>
          <w:marBottom w:val="0"/>
          <w:divBdr>
            <w:top w:val="none" w:sz="0" w:space="0" w:color="auto"/>
            <w:left w:val="none" w:sz="0" w:space="0" w:color="auto"/>
            <w:bottom w:val="none" w:sz="0" w:space="0" w:color="auto"/>
            <w:right w:val="none" w:sz="0" w:space="0" w:color="auto"/>
          </w:divBdr>
        </w:div>
        <w:div w:id="1302465553">
          <w:marLeft w:val="547"/>
          <w:marRight w:val="0"/>
          <w:marTop w:val="144"/>
          <w:marBottom w:val="0"/>
          <w:divBdr>
            <w:top w:val="none" w:sz="0" w:space="0" w:color="auto"/>
            <w:left w:val="none" w:sz="0" w:space="0" w:color="auto"/>
            <w:bottom w:val="none" w:sz="0" w:space="0" w:color="auto"/>
            <w:right w:val="none" w:sz="0" w:space="0" w:color="auto"/>
          </w:divBdr>
        </w:div>
        <w:div w:id="1416703522">
          <w:marLeft w:val="547"/>
          <w:marRight w:val="0"/>
          <w:marTop w:val="144"/>
          <w:marBottom w:val="0"/>
          <w:divBdr>
            <w:top w:val="none" w:sz="0" w:space="0" w:color="auto"/>
            <w:left w:val="none" w:sz="0" w:space="0" w:color="auto"/>
            <w:bottom w:val="none" w:sz="0" w:space="0" w:color="auto"/>
            <w:right w:val="none" w:sz="0" w:space="0" w:color="auto"/>
          </w:divBdr>
        </w:div>
        <w:div w:id="1825589066">
          <w:marLeft w:val="547"/>
          <w:marRight w:val="0"/>
          <w:marTop w:val="144"/>
          <w:marBottom w:val="0"/>
          <w:divBdr>
            <w:top w:val="none" w:sz="0" w:space="0" w:color="auto"/>
            <w:left w:val="none" w:sz="0" w:space="0" w:color="auto"/>
            <w:bottom w:val="none" w:sz="0" w:space="0" w:color="auto"/>
            <w:right w:val="none" w:sz="0" w:space="0" w:color="auto"/>
          </w:divBdr>
        </w:div>
        <w:div w:id="1942452165">
          <w:marLeft w:val="547"/>
          <w:marRight w:val="0"/>
          <w:marTop w:val="144"/>
          <w:marBottom w:val="0"/>
          <w:divBdr>
            <w:top w:val="none" w:sz="0" w:space="0" w:color="auto"/>
            <w:left w:val="none" w:sz="0" w:space="0" w:color="auto"/>
            <w:bottom w:val="none" w:sz="0" w:space="0" w:color="auto"/>
            <w:right w:val="none" w:sz="0" w:space="0" w:color="auto"/>
          </w:divBdr>
        </w:div>
      </w:divsChild>
    </w:div>
    <w:div w:id="1690982833">
      <w:bodyDiv w:val="1"/>
      <w:marLeft w:val="0"/>
      <w:marRight w:val="0"/>
      <w:marTop w:val="0"/>
      <w:marBottom w:val="0"/>
      <w:divBdr>
        <w:top w:val="none" w:sz="0" w:space="0" w:color="auto"/>
        <w:left w:val="none" w:sz="0" w:space="0" w:color="auto"/>
        <w:bottom w:val="none" w:sz="0" w:space="0" w:color="auto"/>
        <w:right w:val="none" w:sz="0" w:space="0" w:color="auto"/>
      </w:divBdr>
      <w:divsChild>
        <w:div w:id="704447004">
          <w:marLeft w:val="547"/>
          <w:marRight w:val="0"/>
          <w:marTop w:val="134"/>
          <w:marBottom w:val="0"/>
          <w:divBdr>
            <w:top w:val="none" w:sz="0" w:space="0" w:color="auto"/>
            <w:left w:val="none" w:sz="0" w:space="0" w:color="auto"/>
            <w:bottom w:val="none" w:sz="0" w:space="0" w:color="auto"/>
            <w:right w:val="none" w:sz="0" w:space="0" w:color="auto"/>
          </w:divBdr>
        </w:div>
        <w:div w:id="980425702">
          <w:marLeft w:val="1166"/>
          <w:marRight w:val="0"/>
          <w:marTop w:val="115"/>
          <w:marBottom w:val="0"/>
          <w:divBdr>
            <w:top w:val="none" w:sz="0" w:space="0" w:color="auto"/>
            <w:left w:val="none" w:sz="0" w:space="0" w:color="auto"/>
            <w:bottom w:val="none" w:sz="0" w:space="0" w:color="auto"/>
            <w:right w:val="none" w:sz="0" w:space="0" w:color="auto"/>
          </w:divBdr>
        </w:div>
        <w:div w:id="1066295859">
          <w:marLeft w:val="547"/>
          <w:marRight w:val="0"/>
          <w:marTop w:val="134"/>
          <w:marBottom w:val="0"/>
          <w:divBdr>
            <w:top w:val="none" w:sz="0" w:space="0" w:color="auto"/>
            <w:left w:val="none" w:sz="0" w:space="0" w:color="auto"/>
            <w:bottom w:val="none" w:sz="0" w:space="0" w:color="auto"/>
            <w:right w:val="none" w:sz="0" w:space="0" w:color="auto"/>
          </w:divBdr>
        </w:div>
        <w:div w:id="1205556793">
          <w:marLeft w:val="1166"/>
          <w:marRight w:val="0"/>
          <w:marTop w:val="115"/>
          <w:marBottom w:val="0"/>
          <w:divBdr>
            <w:top w:val="none" w:sz="0" w:space="0" w:color="auto"/>
            <w:left w:val="none" w:sz="0" w:space="0" w:color="auto"/>
            <w:bottom w:val="none" w:sz="0" w:space="0" w:color="auto"/>
            <w:right w:val="none" w:sz="0" w:space="0" w:color="auto"/>
          </w:divBdr>
        </w:div>
        <w:div w:id="1369649832">
          <w:marLeft w:val="1166"/>
          <w:marRight w:val="0"/>
          <w:marTop w:val="115"/>
          <w:marBottom w:val="0"/>
          <w:divBdr>
            <w:top w:val="none" w:sz="0" w:space="0" w:color="auto"/>
            <w:left w:val="none" w:sz="0" w:space="0" w:color="auto"/>
            <w:bottom w:val="none" w:sz="0" w:space="0" w:color="auto"/>
            <w:right w:val="none" w:sz="0" w:space="0" w:color="auto"/>
          </w:divBdr>
        </w:div>
        <w:div w:id="1697928104">
          <w:marLeft w:val="547"/>
          <w:marRight w:val="0"/>
          <w:marTop w:val="134"/>
          <w:marBottom w:val="0"/>
          <w:divBdr>
            <w:top w:val="none" w:sz="0" w:space="0" w:color="auto"/>
            <w:left w:val="none" w:sz="0" w:space="0" w:color="auto"/>
            <w:bottom w:val="none" w:sz="0" w:space="0" w:color="auto"/>
            <w:right w:val="none" w:sz="0" w:space="0" w:color="auto"/>
          </w:divBdr>
        </w:div>
      </w:divsChild>
    </w:div>
    <w:div w:id="1692993443">
      <w:bodyDiv w:val="1"/>
      <w:marLeft w:val="0"/>
      <w:marRight w:val="0"/>
      <w:marTop w:val="0"/>
      <w:marBottom w:val="0"/>
      <w:divBdr>
        <w:top w:val="none" w:sz="0" w:space="0" w:color="auto"/>
        <w:left w:val="none" w:sz="0" w:space="0" w:color="auto"/>
        <w:bottom w:val="none" w:sz="0" w:space="0" w:color="auto"/>
        <w:right w:val="none" w:sz="0" w:space="0" w:color="auto"/>
      </w:divBdr>
      <w:divsChild>
        <w:div w:id="412120313">
          <w:marLeft w:val="547"/>
          <w:marRight w:val="0"/>
          <w:marTop w:val="0"/>
          <w:marBottom w:val="144"/>
          <w:divBdr>
            <w:top w:val="none" w:sz="0" w:space="0" w:color="auto"/>
            <w:left w:val="none" w:sz="0" w:space="0" w:color="auto"/>
            <w:bottom w:val="none" w:sz="0" w:space="0" w:color="auto"/>
            <w:right w:val="none" w:sz="0" w:space="0" w:color="auto"/>
          </w:divBdr>
        </w:div>
        <w:div w:id="923076589">
          <w:marLeft w:val="1166"/>
          <w:marRight w:val="0"/>
          <w:marTop w:val="0"/>
          <w:marBottom w:val="120"/>
          <w:divBdr>
            <w:top w:val="none" w:sz="0" w:space="0" w:color="auto"/>
            <w:left w:val="none" w:sz="0" w:space="0" w:color="auto"/>
            <w:bottom w:val="none" w:sz="0" w:space="0" w:color="auto"/>
            <w:right w:val="none" w:sz="0" w:space="0" w:color="auto"/>
          </w:divBdr>
        </w:div>
        <w:div w:id="1782215580">
          <w:marLeft w:val="1166"/>
          <w:marRight w:val="0"/>
          <w:marTop w:val="0"/>
          <w:marBottom w:val="120"/>
          <w:divBdr>
            <w:top w:val="none" w:sz="0" w:space="0" w:color="auto"/>
            <w:left w:val="none" w:sz="0" w:space="0" w:color="auto"/>
            <w:bottom w:val="none" w:sz="0" w:space="0" w:color="auto"/>
            <w:right w:val="none" w:sz="0" w:space="0" w:color="auto"/>
          </w:divBdr>
        </w:div>
      </w:divsChild>
    </w:div>
    <w:div w:id="1705934523">
      <w:bodyDiv w:val="1"/>
      <w:marLeft w:val="0"/>
      <w:marRight w:val="0"/>
      <w:marTop w:val="0"/>
      <w:marBottom w:val="0"/>
      <w:divBdr>
        <w:top w:val="none" w:sz="0" w:space="0" w:color="auto"/>
        <w:left w:val="none" w:sz="0" w:space="0" w:color="auto"/>
        <w:bottom w:val="none" w:sz="0" w:space="0" w:color="auto"/>
        <w:right w:val="none" w:sz="0" w:space="0" w:color="auto"/>
      </w:divBdr>
    </w:div>
    <w:div w:id="1719476293">
      <w:bodyDiv w:val="1"/>
      <w:marLeft w:val="0"/>
      <w:marRight w:val="0"/>
      <w:marTop w:val="0"/>
      <w:marBottom w:val="0"/>
      <w:divBdr>
        <w:top w:val="none" w:sz="0" w:space="0" w:color="auto"/>
        <w:left w:val="none" w:sz="0" w:space="0" w:color="auto"/>
        <w:bottom w:val="none" w:sz="0" w:space="0" w:color="auto"/>
        <w:right w:val="none" w:sz="0" w:space="0" w:color="auto"/>
      </w:divBdr>
    </w:div>
    <w:div w:id="1723170511">
      <w:bodyDiv w:val="1"/>
      <w:marLeft w:val="0"/>
      <w:marRight w:val="0"/>
      <w:marTop w:val="0"/>
      <w:marBottom w:val="0"/>
      <w:divBdr>
        <w:top w:val="none" w:sz="0" w:space="0" w:color="auto"/>
        <w:left w:val="none" w:sz="0" w:space="0" w:color="auto"/>
        <w:bottom w:val="none" w:sz="0" w:space="0" w:color="auto"/>
        <w:right w:val="none" w:sz="0" w:space="0" w:color="auto"/>
      </w:divBdr>
    </w:div>
    <w:div w:id="1724399951">
      <w:bodyDiv w:val="1"/>
      <w:marLeft w:val="0"/>
      <w:marRight w:val="0"/>
      <w:marTop w:val="0"/>
      <w:marBottom w:val="0"/>
      <w:divBdr>
        <w:top w:val="none" w:sz="0" w:space="0" w:color="auto"/>
        <w:left w:val="none" w:sz="0" w:space="0" w:color="auto"/>
        <w:bottom w:val="none" w:sz="0" w:space="0" w:color="auto"/>
        <w:right w:val="none" w:sz="0" w:space="0" w:color="auto"/>
      </w:divBdr>
    </w:div>
    <w:div w:id="1725178764">
      <w:bodyDiv w:val="1"/>
      <w:marLeft w:val="0"/>
      <w:marRight w:val="0"/>
      <w:marTop w:val="0"/>
      <w:marBottom w:val="0"/>
      <w:divBdr>
        <w:top w:val="none" w:sz="0" w:space="0" w:color="auto"/>
        <w:left w:val="none" w:sz="0" w:space="0" w:color="auto"/>
        <w:bottom w:val="none" w:sz="0" w:space="0" w:color="auto"/>
        <w:right w:val="none" w:sz="0" w:space="0" w:color="auto"/>
      </w:divBdr>
    </w:div>
    <w:div w:id="1734739468">
      <w:bodyDiv w:val="1"/>
      <w:marLeft w:val="0"/>
      <w:marRight w:val="0"/>
      <w:marTop w:val="0"/>
      <w:marBottom w:val="0"/>
      <w:divBdr>
        <w:top w:val="none" w:sz="0" w:space="0" w:color="auto"/>
        <w:left w:val="none" w:sz="0" w:space="0" w:color="auto"/>
        <w:bottom w:val="none" w:sz="0" w:space="0" w:color="auto"/>
        <w:right w:val="none" w:sz="0" w:space="0" w:color="auto"/>
      </w:divBdr>
    </w:div>
    <w:div w:id="1852984434">
      <w:bodyDiv w:val="1"/>
      <w:marLeft w:val="0"/>
      <w:marRight w:val="0"/>
      <w:marTop w:val="0"/>
      <w:marBottom w:val="0"/>
      <w:divBdr>
        <w:top w:val="none" w:sz="0" w:space="0" w:color="auto"/>
        <w:left w:val="none" w:sz="0" w:space="0" w:color="auto"/>
        <w:bottom w:val="none" w:sz="0" w:space="0" w:color="auto"/>
        <w:right w:val="none" w:sz="0" w:space="0" w:color="auto"/>
      </w:divBdr>
      <w:divsChild>
        <w:div w:id="559554959">
          <w:marLeft w:val="720"/>
          <w:marRight w:val="0"/>
          <w:marTop w:val="120"/>
          <w:marBottom w:val="0"/>
          <w:divBdr>
            <w:top w:val="none" w:sz="0" w:space="0" w:color="auto"/>
            <w:left w:val="none" w:sz="0" w:space="0" w:color="auto"/>
            <w:bottom w:val="none" w:sz="0" w:space="0" w:color="auto"/>
            <w:right w:val="none" w:sz="0" w:space="0" w:color="auto"/>
          </w:divBdr>
        </w:div>
        <w:div w:id="1445877751">
          <w:marLeft w:val="720"/>
          <w:marRight w:val="0"/>
          <w:marTop w:val="120"/>
          <w:marBottom w:val="0"/>
          <w:divBdr>
            <w:top w:val="none" w:sz="0" w:space="0" w:color="auto"/>
            <w:left w:val="none" w:sz="0" w:space="0" w:color="auto"/>
            <w:bottom w:val="none" w:sz="0" w:space="0" w:color="auto"/>
            <w:right w:val="none" w:sz="0" w:space="0" w:color="auto"/>
          </w:divBdr>
        </w:div>
        <w:div w:id="1900359369">
          <w:marLeft w:val="720"/>
          <w:marRight w:val="0"/>
          <w:marTop w:val="120"/>
          <w:marBottom w:val="0"/>
          <w:divBdr>
            <w:top w:val="none" w:sz="0" w:space="0" w:color="auto"/>
            <w:left w:val="none" w:sz="0" w:space="0" w:color="auto"/>
            <w:bottom w:val="none" w:sz="0" w:space="0" w:color="auto"/>
            <w:right w:val="none" w:sz="0" w:space="0" w:color="auto"/>
          </w:divBdr>
        </w:div>
        <w:div w:id="1976332633">
          <w:marLeft w:val="720"/>
          <w:marRight w:val="0"/>
          <w:marTop w:val="120"/>
          <w:marBottom w:val="0"/>
          <w:divBdr>
            <w:top w:val="none" w:sz="0" w:space="0" w:color="auto"/>
            <w:left w:val="none" w:sz="0" w:space="0" w:color="auto"/>
            <w:bottom w:val="none" w:sz="0" w:space="0" w:color="auto"/>
            <w:right w:val="none" w:sz="0" w:space="0" w:color="auto"/>
          </w:divBdr>
        </w:div>
      </w:divsChild>
    </w:div>
    <w:div w:id="1860508790">
      <w:bodyDiv w:val="1"/>
      <w:marLeft w:val="0"/>
      <w:marRight w:val="0"/>
      <w:marTop w:val="0"/>
      <w:marBottom w:val="0"/>
      <w:divBdr>
        <w:top w:val="none" w:sz="0" w:space="0" w:color="auto"/>
        <w:left w:val="none" w:sz="0" w:space="0" w:color="auto"/>
        <w:bottom w:val="none" w:sz="0" w:space="0" w:color="auto"/>
        <w:right w:val="none" w:sz="0" w:space="0" w:color="auto"/>
      </w:divBdr>
    </w:div>
    <w:div w:id="1878348773">
      <w:bodyDiv w:val="1"/>
      <w:marLeft w:val="0"/>
      <w:marRight w:val="0"/>
      <w:marTop w:val="0"/>
      <w:marBottom w:val="0"/>
      <w:divBdr>
        <w:top w:val="none" w:sz="0" w:space="0" w:color="auto"/>
        <w:left w:val="none" w:sz="0" w:space="0" w:color="auto"/>
        <w:bottom w:val="none" w:sz="0" w:space="0" w:color="auto"/>
        <w:right w:val="none" w:sz="0" w:space="0" w:color="auto"/>
      </w:divBdr>
    </w:div>
    <w:div w:id="1888567470">
      <w:bodyDiv w:val="1"/>
      <w:marLeft w:val="0"/>
      <w:marRight w:val="0"/>
      <w:marTop w:val="0"/>
      <w:marBottom w:val="0"/>
      <w:divBdr>
        <w:top w:val="none" w:sz="0" w:space="0" w:color="auto"/>
        <w:left w:val="none" w:sz="0" w:space="0" w:color="auto"/>
        <w:bottom w:val="none" w:sz="0" w:space="0" w:color="auto"/>
        <w:right w:val="none" w:sz="0" w:space="0" w:color="auto"/>
      </w:divBdr>
      <w:divsChild>
        <w:div w:id="228657154">
          <w:marLeft w:val="274"/>
          <w:marRight w:val="0"/>
          <w:marTop w:val="0"/>
          <w:marBottom w:val="200"/>
          <w:divBdr>
            <w:top w:val="none" w:sz="0" w:space="0" w:color="auto"/>
            <w:left w:val="none" w:sz="0" w:space="0" w:color="auto"/>
            <w:bottom w:val="none" w:sz="0" w:space="0" w:color="auto"/>
            <w:right w:val="none" w:sz="0" w:space="0" w:color="auto"/>
          </w:divBdr>
        </w:div>
        <w:div w:id="310640676">
          <w:marLeft w:val="1166"/>
          <w:marRight w:val="0"/>
          <w:marTop w:val="0"/>
          <w:marBottom w:val="200"/>
          <w:divBdr>
            <w:top w:val="none" w:sz="0" w:space="0" w:color="auto"/>
            <w:left w:val="none" w:sz="0" w:space="0" w:color="auto"/>
            <w:bottom w:val="none" w:sz="0" w:space="0" w:color="auto"/>
            <w:right w:val="none" w:sz="0" w:space="0" w:color="auto"/>
          </w:divBdr>
        </w:div>
        <w:div w:id="1184902560">
          <w:marLeft w:val="1166"/>
          <w:marRight w:val="0"/>
          <w:marTop w:val="0"/>
          <w:marBottom w:val="200"/>
          <w:divBdr>
            <w:top w:val="none" w:sz="0" w:space="0" w:color="auto"/>
            <w:left w:val="none" w:sz="0" w:space="0" w:color="auto"/>
            <w:bottom w:val="none" w:sz="0" w:space="0" w:color="auto"/>
            <w:right w:val="none" w:sz="0" w:space="0" w:color="auto"/>
          </w:divBdr>
        </w:div>
        <w:div w:id="1361541352">
          <w:marLeft w:val="1166"/>
          <w:marRight w:val="0"/>
          <w:marTop w:val="0"/>
          <w:marBottom w:val="200"/>
          <w:divBdr>
            <w:top w:val="none" w:sz="0" w:space="0" w:color="auto"/>
            <w:left w:val="none" w:sz="0" w:space="0" w:color="auto"/>
            <w:bottom w:val="none" w:sz="0" w:space="0" w:color="auto"/>
            <w:right w:val="none" w:sz="0" w:space="0" w:color="auto"/>
          </w:divBdr>
        </w:div>
      </w:divsChild>
    </w:div>
    <w:div w:id="1890649063">
      <w:bodyDiv w:val="1"/>
      <w:marLeft w:val="0"/>
      <w:marRight w:val="0"/>
      <w:marTop w:val="0"/>
      <w:marBottom w:val="0"/>
      <w:divBdr>
        <w:top w:val="none" w:sz="0" w:space="0" w:color="auto"/>
        <w:left w:val="none" w:sz="0" w:space="0" w:color="auto"/>
        <w:bottom w:val="none" w:sz="0" w:space="0" w:color="auto"/>
        <w:right w:val="none" w:sz="0" w:space="0" w:color="auto"/>
      </w:divBdr>
      <w:divsChild>
        <w:div w:id="1153064706">
          <w:marLeft w:val="1166"/>
          <w:marRight w:val="0"/>
          <w:marTop w:val="134"/>
          <w:marBottom w:val="0"/>
          <w:divBdr>
            <w:top w:val="none" w:sz="0" w:space="0" w:color="auto"/>
            <w:left w:val="none" w:sz="0" w:space="0" w:color="auto"/>
            <w:bottom w:val="none" w:sz="0" w:space="0" w:color="auto"/>
            <w:right w:val="none" w:sz="0" w:space="0" w:color="auto"/>
          </w:divBdr>
        </w:div>
      </w:divsChild>
    </w:div>
    <w:div w:id="1898053842">
      <w:bodyDiv w:val="1"/>
      <w:marLeft w:val="0"/>
      <w:marRight w:val="0"/>
      <w:marTop w:val="0"/>
      <w:marBottom w:val="0"/>
      <w:divBdr>
        <w:top w:val="none" w:sz="0" w:space="0" w:color="auto"/>
        <w:left w:val="none" w:sz="0" w:space="0" w:color="auto"/>
        <w:bottom w:val="none" w:sz="0" w:space="0" w:color="auto"/>
        <w:right w:val="none" w:sz="0" w:space="0" w:color="auto"/>
      </w:divBdr>
    </w:div>
    <w:div w:id="1902934790">
      <w:bodyDiv w:val="1"/>
      <w:marLeft w:val="0"/>
      <w:marRight w:val="0"/>
      <w:marTop w:val="0"/>
      <w:marBottom w:val="0"/>
      <w:divBdr>
        <w:top w:val="none" w:sz="0" w:space="0" w:color="auto"/>
        <w:left w:val="none" w:sz="0" w:space="0" w:color="auto"/>
        <w:bottom w:val="none" w:sz="0" w:space="0" w:color="auto"/>
        <w:right w:val="none" w:sz="0" w:space="0" w:color="auto"/>
      </w:divBdr>
      <w:divsChild>
        <w:div w:id="648483781">
          <w:marLeft w:val="547"/>
          <w:marRight w:val="0"/>
          <w:marTop w:val="106"/>
          <w:marBottom w:val="0"/>
          <w:divBdr>
            <w:top w:val="none" w:sz="0" w:space="0" w:color="auto"/>
            <w:left w:val="none" w:sz="0" w:space="0" w:color="auto"/>
            <w:bottom w:val="none" w:sz="0" w:space="0" w:color="auto"/>
            <w:right w:val="none" w:sz="0" w:space="0" w:color="auto"/>
          </w:divBdr>
        </w:div>
        <w:div w:id="862523752">
          <w:marLeft w:val="547"/>
          <w:marRight w:val="0"/>
          <w:marTop w:val="106"/>
          <w:marBottom w:val="0"/>
          <w:divBdr>
            <w:top w:val="none" w:sz="0" w:space="0" w:color="auto"/>
            <w:left w:val="none" w:sz="0" w:space="0" w:color="auto"/>
            <w:bottom w:val="none" w:sz="0" w:space="0" w:color="auto"/>
            <w:right w:val="none" w:sz="0" w:space="0" w:color="auto"/>
          </w:divBdr>
        </w:div>
        <w:div w:id="1262687775">
          <w:marLeft w:val="547"/>
          <w:marRight w:val="0"/>
          <w:marTop w:val="106"/>
          <w:marBottom w:val="0"/>
          <w:divBdr>
            <w:top w:val="none" w:sz="0" w:space="0" w:color="auto"/>
            <w:left w:val="none" w:sz="0" w:space="0" w:color="auto"/>
            <w:bottom w:val="none" w:sz="0" w:space="0" w:color="auto"/>
            <w:right w:val="none" w:sz="0" w:space="0" w:color="auto"/>
          </w:divBdr>
        </w:div>
        <w:div w:id="1440178735">
          <w:marLeft w:val="1166"/>
          <w:marRight w:val="0"/>
          <w:marTop w:val="91"/>
          <w:marBottom w:val="0"/>
          <w:divBdr>
            <w:top w:val="none" w:sz="0" w:space="0" w:color="auto"/>
            <w:left w:val="none" w:sz="0" w:space="0" w:color="auto"/>
            <w:bottom w:val="none" w:sz="0" w:space="0" w:color="auto"/>
            <w:right w:val="none" w:sz="0" w:space="0" w:color="auto"/>
          </w:divBdr>
        </w:div>
        <w:div w:id="1478953523">
          <w:marLeft w:val="1166"/>
          <w:marRight w:val="0"/>
          <w:marTop w:val="91"/>
          <w:marBottom w:val="0"/>
          <w:divBdr>
            <w:top w:val="none" w:sz="0" w:space="0" w:color="auto"/>
            <w:left w:val="none" w:sz="0" w:space="0" w:color="auto"/>
            <w:bottom w:val="none" w:sz="0" w:space="0" w:color="auto"/>
            <w:right w:val="none" w:sz="0" w:space="0" w:color="auto"/>
          </w:divBdr>
        </w:div>
        <w:div w:id="1612545543">
          <w:marLeft w:val="547"/>
          <w:marRight w:val="0"/>
          <w:marTop w:val="106"/>
          <w:marBottom w:val="0"/>
          <w:divBdr>
            <w:top w:val="none" w:sz="0" w:space="0" w:color="auto"/>
            <w:left w:val="none" w:sz="0" w:space="0" w:color="auto"/>
            <w:bottom w:val="none" w:sz="0" w:space="0" w:color="auto"/>
            <w:right w:val="none" w:sz="0" w:space="0" w:color="auto"/>
          </w:divBdr>
        </w:div>
        <w:div w:id="1630818335">
          <w:marLeft w:val="547"/>
          <w:marRight w:val="0"/>
          <w:marTop w:val="106"/>
          <w:marBottom w:val="0"/>
          <w:divBdr>
            <w:top w:val="none" w:sz="0" w:space="0" w:color="auto"/>
            <w:left w:val="none" w:sz="0" w:space="0" w:color="auto"/>
            <w:bottom w:val="none" w:sz="0" w:space="0" w:color="auto"/>
            <w:right w:val="none" w:sz="0" w:space="0" w:color="auto"/>
          </w:divBdr>
        </w:div>
        <w:div w:id="1957369303">
          <w:marLeft w:val="547"/>
          <w:marRight w:val="0"/>
          <w:marTop w:val="106"/>
          <w:marBottom w:val="0"/>
          <w:divBdr>
            <w:top w:val="none" w:sz="0" w:space="0" w:color="auto"/>
            <w:left w:val="none" w:sz="0" w:space="0" w:color="auto"/>
            <w:bottom w:val="none" w:sz="0" w:space="0" w:color="auto"/>
            <w:right w:val="none" w:sz="0" w:space="0" w:color="auto"/>
          </w:divBdr>
        </w:div>
      </w:divsChild>
    </w:div>
    <w:div w:id="1909880415">
      <w:bodyDiv w:val="1"/>
      <w:marLeft w:val="0"/>
      <w:marRight w:val="0"/>
      <w:marTop w:val="0"/>
      <w:marBottom w:val="0"/>
      <w:divBdr>
        <w:top w:val="none" w:sz="0" w:space="0" w:color="auto"/>
        <w:left w:val="none" w:sz="0" w:space="0" w:color="auto"/>
        <w:bottom w:val="none" w:sz="0" w:space="0" w:color="auto"/>
        <w:right w:val="none" w:sz="0" w:space="0" w:color="auto"/>
      </w:divBdr>
      <w:divsChild>
        <w:div w:id="785193853">
          <w:marLeft w:val="720"/>
          <w:marRight w:val="0"/>
          <w:marTop w:val="86"/>
          <w:marBottom w:val="0"/>
          <w:divBdr>
            <w:top w:val="none" w:sz="0" w:space="0" w:color="auto"/>
            <w:left w:val="none" w:sz="0" w:space="0" w:color="auto"/>
            <w:bottom w:val="none" w:sz="0" w:space="0" w:color="auto"/>
            <w:right w:val="none" w:sz="0" w:space="0" w:color="auto"/>
          </w:divBdr>
        </w:div>
        <w:div w:id="905458421">
          <w:marLeft w:val="720"/>
          <w:marRight w:val="0"/>
          <w:marTop w:val="86"/>
          <w:marBottom w:val="0"/>
          <w:divBdr>
            <w:top w:val="none" w:sz="0" w:space="0" w:color="auto"/>
            <w:left w:val="none" w:sz="0" w:space="0" w:color="auto"/>
            <w:bottom w:val="none" w:sz="0" w:space="0" w:color="auto"/>
            <w:right w:val="none" w:sz="0" w:space="0" w:color="auto"/>
          </w:divBdr>
        </w:div>
        <w:div w:id="1369375149">
          <w:marLeft w:val="907"/>
          <w:marRight w:val="0"/>
          <w:marTop w:val="67"/>
          <w:marBottom w:val="0"/>
          <w:divBdr>
            <w:top w:val="none" w:sz="0" w:space="0" w:color="auto"/>
            <w:left w:val="none" w:sz="0" w:space="0" w:color="auto"/>
            <w:bottom w:val="none" w:sz="0" w:space="0" w:color="auto"/>
            <w:right w:val="none" w:sz="0" w:space="0" w:color="auto"/>
          </w:divBdr>
        </w:div>
      </w:divsChild>
    </w:div>
    <w:div w:id="1911890573">
      <w:bodyDiv w:val="1"/>
      <w:marLeft w:val="0"/>
      <w:marRight w:val="0"/>
      <w:marTop w:val="0"/>
      <w:marBottom w:val="0"/>
      <w:divBdr>
        <w:top w:val="none" w:sz="0" w:space="0" w:color="auto"/>
        <w:left w:val="none" w:sz="0" w:space="0" w:color="auto"/>
        <w:bottom w:val="none" w:sz="0" w:space="0" w:color="auto"/>
        <w:right w:val="none" w:sz="0" w:space="0" w:color="auto"/>
      </w:divBdr>
    </w:div>
    <w:div w:id="1916158656">
      <w:bodyDiv w:val="1"/>
      <w:marLeft w:val="0"/>
      <w:marRight w:val="0"/>
      <w:marTop w:val="0"/>
      <w:marBottom w:val="0"/>
      <w:divBdr>
        <w:top w:val="none" w:sz="0" w:space="0" w:color="auto"/>
        <w:left w:val="none" w:sz="0" w:space="0" w:color="auto"/>
        <w:bottom w:val="none" w:sz="0" w:space="0" w:color="auto"/>
        <w:right w:val="none" w:sz="0" w:space="0" w:color="auto"/>
      </w:divBdr>
    </w:div>
    <w:div w:id="1916353352">
      <w:bodyDiv w:val="1"/>
      <w:marLeft w:val="0"/>
      <w:marRight w:val="0"/>
      <w:marTop w:val="0"/>
      <w:marBottom w:val="0"/>
      <w:divBdr>
        <w:top w:val="none" w:sz="0" w:space="0" w:color="auto"/>
        <w:left w:val="none" w:sz="0" w:space="0" w:color="auto"/>
        <w:bottom w:val="none" w:sz="0" w:space="0" w:color="auto"/>
        <w:right w:val="none" w:sz="0" w:space="0" w:color="auto"/>
      </w:divBdr>
    </w:div>
    <w:div w:id="1925602860">
      <w:bodyDiv w:val="1"/>
      <w:marLeft w:val="0"/>
      <w:marRight w:val="0"/>
      <w:marTop w:val="0"/>
      <w:marBottom w:val="0"/>
      <w:divBdr>
        <w:top w:val="none" w:sz="0" w:space="0" w:color="auto"/>
        <w:left w:val="none" w:sz="0" w:space="0" w:color="auto"/>
        <w:bottom w:val="none" w:sz="0" w:space="0" w:color="auto"/>
        <w:right w:val="none" w:sz="0" w:space="0" w:color="auto"/>
      </w:divBdr>
    </w:div>
    <w:div w:id="1946885989">
      <w:bodyDiv w:val="1"/>
      <w:marLeft w:val="0"/>
      <w:marRight w:val="0"/>
      <w:marTop w:val="0"/>
      <w:marBottom w:val="0"/>
      <w:divBdr>
        <w:top w:val="none" w:sz="0" w:space="0" w:color="auto"/>
        <w:left w:val="none" w:sz="0" w:space="0" w:color="auto"/>
        <w:bottom w:val="none" w:sz="0" w:space="0" w:color="auto"/>
        <w:right w:val="none" w:sz="0" w:space="0" w:color="auto"/>
      </w:divBdr>
      <w:divsChild>
        <w:div w:id="703360699">
          <w:marLeft w:val="1166"/>
          <w:marRight w:val="0"/>
          <w:marTop w:val="134"/>
          <w:marBottom w:val="0"/>
          <w:divBdr>
            <w:top w:val="none" w:sz="0" w:space="0" w:color="auto"/>
            <w:left w:val="none" w:sz="0" w:space="0" w:color="auto"/>
            <w:bottom w:val="none" w:sz="0" w:space="0" w:color="auto"/>
            <w:right w:val="none" w:sz="0" w:space="0" w:color="auto"/>
          </w:divBdr>
        </w:div>
        <w:div w:id="1711761014">
          <w:marLeft w:val="1166"/>
          <w:marRight w:val="0"/>
          <w:marTop w:val="134"/>
          <w:marBottom w:val="0"/>
          <w:divBdr>
            <w:top w:val="none" w:sz="0" w:space="0" w:color="auto"/>
            <w:left w:val="none" w:sz="0" w:space="0" w:color="auto"/>
            <w:bottom w:val="none" w:sz="0" w:space="0" w:color="auto"/>
            <w:right w:val="none" w:sz="0" w:space="0" w:color="auto"/>
          </w:divBdr>
        </w:div>
      </w:divsChild>
    </w:div>
    <w:div w:id="1967858349">
      <w:bodyDiv w:val="1"/>
      <w:marLeft w:val="0"/>
      <w:marRight w:val="0"/>
      <w:marTop w:val="0"/>
      <w:marBottom w:val="0"/>
      <w:divBdr>
        <w:top w:val="none" w:sz="0" w:space="0" w:color="auto"/>
        <w:left w:val="none" w:sz="0" w:space="0" w:color="auto"/>
        <w:bottom w:val="none" w:sz="0" w:space="0" w:color="auto"/>
        <w:right w:val="none" w:sz="0" w:space="0" w:color="auto"/>
      </w:divBdr>
      <w:divsChild>
        <w:div w:id="151919781">
          <w:marLeft w:val="1800"/>
          <w:marRight w:val="0"/>
          <w:marTop w:val="91"/>
          <w:marBottom w:val="0"/>
          <w:divBdr>
            <w:top w:val="none" w:sz="0" w:space="0" w:color="auto"/>
            <w:left w:val="none" w:sz="0" w:space="0" w:color="auto"/>
            <w:bottom w:val="none" w:sz="0" w:space="0" w:color="auto"/>
            <w:right w:val="none" w:sz="0" w:space="0" w:color="auto"/>
          </w:divBdr>
        </w:div>
        <w:div w:id="153574993">
          <w:marLeft w:val="1800"/>
          <w:marRight w:val="0"/>
          <w:marTop w:val="91"/>
          <w:marBottom w:val="0"/>
          <w:divBdr>
            <w:top w:val="none" w:sz="0" w:space="0" w:color="auto"/>
            <w:left w:val="none" w:sz="0" w:space="0" w:color="auto"/>
            <w:bottom w:val="none" w:sz="0" w:space="0" w:color="auto"/>
            <w:right w:val="none" w:sz="0" w:space="0" w:color="auto"/>
          </w:divBdr>
        </w:div>
        <w:div w:id="211236472">
          <w:marLeft w:val="1166"/>
          <w:marRight w:val="0"/>
          <w:marTop w:val="106"/>
          <w:marBottom w:val="0"/>
          <w:divBdr>
            <w:top w:val="none" w:sz="0" w:space="0" w:color="auto"/>
            <w:left w:val="none" w:sz="0" w:space="0" w:color="auto"/>
            <w:bottom w:val="none" w:sz="0" w:space="0" w:color="auto"/>
            <w:right w:val="none" w:sz="0" w:space="0" w:color="auto"/>
          </w:divBdr>
        </w:div>
        <w:div w:id="572935946">
          <w:marLeft w:val="1800"/>
          <w:marRight w:val="0"/>
          <w:marTop w:val="91"/>
          <w:marBottom w:val="0"/>
          <w:divBdr>
            <w:top w:val="none" w:sz="0" w:space="0" w:color="auto"/>
            <w:left w:val="none" w:sz="0" w:space="0" w:color="auto"/>
            <w:bottom w:val="none" w:sz="0" w:space="0" w:color="auto"/>
            <w:right w:val="none" w:sz="0" w:space="0" w:color="auto"/>
          </w:divBdr>
        </w:div>
        <w:div w:id="681663371">
          <w:marLeft w:val="1800"/>
          <w:marRight w:val="0"/>
          <w:marTop w:val="91"/>
          <w:marBottom w:val="0"/>
          <w:divBdr>
            <w:top w:val="none" w:sz="0" w:space="0" w:color="auto"/>
            <w:left w:val="none" w:sz="0" w:space="0" w:color="auto"/>
            <w:bottom w:val="none" w:sz="0" w:space="0" w:color="auto"/>
            <w:right w:val="none" w:sz="0" w:space="0" w:color="auto"/>
          </w:divBdr>
        </w:div>
        <w:div w:id="903757116">
          <w:marLeft w:val="1166"/>
          <w:marRight w:val="0"/>
          <w:marTop w:val="106"/>
          <w:marBottom w:val="0"/>
          <w:divBdr>
            <w:top w:val="none" w:sz="0" w:space="0" w:color="auto"/>
            <w:left w:val="none" w:sz="0" w:space="0" w:color="auto"/>
            <w:bottom w:val="none" w:sz="0" w:space="0" w:color="auto"/>
            <w:right w:val="none" w:sz="0" w:space="0" w:color="auto"/>
          </w:divBdr>
        </w:div>
        <w:div w:id="1016495444">
          <w:marLeft w:val="547"/>
          <w:marRight w:val="0"/>
          <w:marTop w:val="120"/>
          <w:marBottom w:val="0"/>
          <w:divBdr>
            <w:top w:val="none" w:sz="0" w:space="0" w:color="auto"/>
            <w:left w:val="none" w:sz="0" w:space="0" w:color="auto"/>
            <w:bottom w:val="none" w:sz="0" w:space="0" w:color="auto"/>
            <w:right w:val="none" w:sz="0" w:space="0" w:color="auto"/>
          </w:divBdr>
        </w:div>
        <w:div w:id="1033728426">
          <w:marLeft w:val="547"/>
          <w:marRight w:val="0"/>
          <w:marTop w:val="120"/>
          <w:marBottom w:val="0"/>
          <w:divBdr>
            <w:top w:val="none" w:sz="0" w:space="0" w:color="auto"/>
            <w:left w:val="none" w:sz="0" w:space="0" w:color="auto"/>
            <w:bottom w:val="none" w:sz="0" w:space="0" w:color="auto"/>
            <w:right w:val="none" w:sz="0" w:space="0" w:color="auto"/>
          </w:divBdr>
        </w:div>
        <w:div w:id="1706833670">
          <w:marLeft w:val="1166"/>
          <w:marRight w:val="0"/>
          <w:marTop w:val="106"/>
          <w:marBottom w:val="0"/>
          <w:divBdr>
            <w:top w:val="none" w:sz="0" w:space="0" w:color="auto"/>
            <w:left w:val="none" w:sz="0" w:space="0" w:color="auto"/>
            <w:bottom w:val="none" w:sz="0" w:space="0" w:color="auto"/>
            <w:right w:val="none" w:sz="0" w:space="0" w:color="auto"/>
          </w:divBdr>
        </w:div>
        <w:div w:id="1910534172">
          <w:marLeft w:val="1166"/>
          <w:marRight w:val="0"/>
          <w:marTop w:val="106"/>
          <w:marBottom w:val="0"/>
          <w:divBdr>
            <w:top w:val="none" w:sz="0" w:space="0" w:color="auto"/>
            <w:left w:val="none" w:sz="0" w:space="0" w:color="auto"/>
            <w:bottom w:val="none" w:sz="0" w:space="0" w:color="auto"/>
            <w:right w:val="none" w:sz="0" w:space="0" w:color="auto"/>
          </w:divBdr>
        </w:div>
      </w:divsChild>
    </w:div>
    <w:div w:id="1987082212">
      <w:bodyDiv w:val="1"/>
      <w:marLeft w:val="0"/>
      <w:marRight w:val="0"/>
      <w:marTop w:val="0"/>
      <w:marBottom w:val="0"/>
      <w:divBdr>
        <w:top w:val="none" w:sz="0" w:space="0" w:color="auto"/>
        <w:left w:val="none" w:sz="0" w:space="0" w:color="auto"/>
        <w:bottom w:val="none" w:sz="0" w:space="0" w:color="auto"/>
        <w:right w:val="none" w:sz="0" w:space="0" w:color="auto"/>
      </w:divBdr>
      <w:divsChild>
        <w:div w:id="509836414">
          <w:marLeft w:val="274"/>
          <w:marRight w:val="0"/>
          <w:marTop w:val="0"/>
          <w:marBottom w:val="0"/>
          <w:divBdr>
            <w:top w:val="none" w:sz="0" w:space="0" w:color="auto"/>
            <w:left w:val="none" w:sz="0" w:space="0" w:color="auto"/>
            <w:bottom w:val="none" w:sz="0" w:space="0" w:color="auto"/>
            <w:right w:val="none" w:sz="0" w:space="0" w:color="auto"/>
          </w:divBdr>
        </w:div>
        <w:div w:id="896085085">
          <w:marLeft w:val="274"/>
          <w:marRight w:val="0"/>
          <w:marTop w:val="0"/>
          <w:marBottom w:val="0"/>
          <w:divBdr>
            <w:top w:val="none" w:sz="0" w:space="0" w:color="auto"/>
            <w:left w:val="none" w:sz="0" w:space="0" w:color="auto"/>
            <w:bottom w:val="none" w:sz="0" w:space="0" w:color="auto"/>
            <w:right w:val="none" w:sz="0" w:space="0" w:color="auto"/>
          </w:divBdr>
        </w:div>
        <w:div w:id="2091735979">
          <w:marLeft w:val="274"/>
          <w:marRight w:val="0"/>
          <w:marTop w:val="0"/>
          <w:marBottom w:val="0"/>
          <w:divBdr>
            <w:top w:val="none" w:sz="0" w:space="0" w:color="auto"/>
            <w:left w:val="none" w:sz="0" w:space="0" w:color="auto"/>
            <w:bottom w:val="none" w:sz="0" w:space="0" w:color="auto"/>
            <w:right w:val="none" w:sz="0" w:space="0" w:color="auto"/>
          </w:divBdr>
        </w:div>
      </w:divsChild>
    </w:div>
    <w:div w:id="2017003306">
      <w:bodyDiv w:val="1"/>
      <w:marLeft w:val="0"/>
      <w:marRight w:val="0"/>
      <w:marTop w:val="0"/>
      <w:marBottom w:val="0"/>
      <w:divBdr>
        <w:top w:val="none" w:sz="0" w:space="0" w:color="auto"/>
        <w:left w:val="none" w:sz="0" w:space="0" w:color="auto"/>
        <w:bottom w:val="none" w:sz="0" w:space="0" w:color="auto"/>
        <w:right w:val="none" w:sz="0" w:space="0" w:color="auto"/>
      </w:divBdr>
    </w:div>
    <w:div w:id="2022582394">
      <w:bodyDiv w:val="1"/>
      <w:marLeft w:val="0"/>
      <w:marRight w:val="0"/>
      <w:marTop w:val="0"/>
      <w:marBottom w:val="0"/>
      <w:divBdr>
        <w:top w:val="none" w:sz="0" w:space="0" w:color="auto"/>
        <w:left w:val="none" w:sz="0" w:space="0" w:color="auto"/>
        <w:bottom w:val="none" w:sz="0" w:space="0" w:color="auto"/>
        <w:right w:val="none" w:sz="0" w:space="0" w:color="auto"/>
      </w:divBdr>
    </w:div>
    <w:div w:id="2049984322">
      <w:bodyDiv w:val="1"/>
      <w:marLeft w:val="0"/>
      <w:marRight w:val="0"/>
      <w:marTop w:val="0"/>
      <w:marBottom w:val="0"/>
      <w:divBdr>
        <w:top w:val="none" w:sz="0" w:space="0" w:color="auto"/>
        <w:left w:val="none" w:sz="0" w:space="0" w:color="auto"/>
        <w:bottom w:val="none" w:sz="0" w:space="0" w:color="auto"/>
        <w:right w:val="none" w:sz="0" w:space="0" w:color="auto"/>
      </w:divBdr>
    </w:div>
    <w:div w:id="2051881376">
      <w:bodyDiv w:val="1"/>
      <w:marLeft w:val="0"/>
      <w:marRight w:val="0"/>
      <w:marTop w:val="0"/>
      <w:marBottom w:val="0"/>
      <w:divBdr>
        <w:top w:val="none" w:sz="0" w:space="0" w:color="auto"/>
        <w:left w:val="none" w:sz="0" w:space="0" w:color="auto"/>
        <w:bottom w:val="none" w:sz="0" w:space="0" w:color="auto"/>
        <w:right w:val="none" w:sz="0" w:space="0" w:color="auto"/>
      </w:divBdr>
      <w:divsChild>
        <w:div w:id="370571116">
          <w:marLeft w:val="446"/>
          <w:marRight w:val="0"/>
          <w:marTop w:val="0"/>
          <w:marBottom w:val="0"/>
          <w:divBdr>
            <w:top w:val="none" w:sz="0" w:space="0" w:color="auto"/>
            <w:left w:val="none" w:sz="0" w:space="0" w:color="auto"/>
            <w:bottom w:val="none" w:sz="0" w:space="0" w:color="auto"/>
            <w:right w:val="none" w:sz="0" w:space="0" w:color="auto"/>
          </w:divBdr>
        </w:div>
        <w:div w:id="1526794790">
          <w:marLeft w:val="446"/>
          <w:marRight w:val="0"/>
          <w:marTop w:val="0"/>
          <w:marBottom w:val="0"/>
          <w:divBdr>
            <w:top w:val="none" w:sz="0" w:space="0" w:color="auto"/>
            <w:left w:val="none" w:sz="0" w:space="0" w:color="auto"/>
            <w:bottom w:val="none" w:sz="0" w:space="0" w:color="auto"/>
            <w:right w:val="none" w:sz="0" w:space="0" w:color="auto"/>
          </w:divBdr>
        </w:div>
      </w:divsChild>
    </w:div>
    <w:div w:id="2053536442">
      <w:bodyDiv w:val="1"/>
      <w:marLeft w:val="0"/>
      <w:marRight w:val="0"/>
      <w:marTop w:val="0"/>
      <w:marBottom w:val="0"/>
      <w:divBdr>
        <w:top w:val="none" w:sz="0" w:space="0" w:color="auto"/>
        <w:left w:val="none" w:sz="0" w:space="0" w:color="auto"/>
        <w:bottom w:val="none" w:sz="0" w:space="0" w:color="auto"/>
        <w:right w:val="none" w:sz="0" w:space="0" w:color="auto"/>
      </w:divBdr>
      <w:divsChild>
        <w:div w:id="175191520">
          <w:marLeft w:val="1800"/>
          <w:marRight w:val="0"/>
          <w:marTop w:val="86"/>
          <w:marBottom w:val="0"/>
          <w:divBdr>
            <w:top w:val="none" w:sz="0" w:space="0" w:color="auto"/>
            <w:left w:val="none" w:sz="0" w:space="0" w:color="auto"/>
            <w:bottom w:val="none" w:sz="0" w:space="0" w:color="auto"/>
            <w:right w:val="none" w:sz="0" w:space="0" w:color="auto"/>
          </w:divBdr>
        </w:div>
        <w:div w:id="372652717">
          <w:marLeft w:val="1166"/>
          <w:marRight w:val="0"/>
          <w:marTop w:val="115"/>
          <w:marBottom w:val="0"/>
          <w:divBdr>
            <w:top w:val="none" w:sz="0" w:space="0" w:color="auto"/>
            <w:left w:val="none" w:sz="0" w:space="0" w:color="auto"/>
            <w:bottom w:val="none" w:sz="0" w:space="0" w:color="auto"/>
            <w:right w:val="none" w:sz="0" w:space="0" w:color="auto"/>
          </w:divBdr>
        </w:div>
        <w:div w:id="1260480817">
          <w:marLeft w:val="547"/>
          <w:marRight w:val="0"/>
          <w:marTop w:val="134"/>
          <w:marBottom w:val="0"/>
          <w:divBdr>
            <w:top w:val="none" w:sz="0" w:space="0" w:color="auto"/>
            <w:left w:val="none" w:sz="0" w:space="0" w:color="auto"/>
            <w:bottom w:val="none" w:sz="0" w:space="0" w:color="auto"/>
            <w:right w:val="none" w:sz="0" w:space="0" w:color="auto"/>
          </w:divBdr>
        </w:div>
        <w:div w:id="1425298179">
          <w:marLeft w:val="1166"/>
          <w:marRight w:val="0"/>
          <w:marTop w:val="115"/>
          <w:marBottom w:val="0"/>
          <w:divBdr>
            <w:top w:val="none" w:sz="0" w:space="0" w:color="auto"/>
            <w:left w:val="none" w:sz="0" w:space="0" w:color="auto"/>
            <w:bottom w:val="none" w:sz="0" w:space="0" w:color="auto"/>
            <w:right w:val="none" w:sz="0" w:space="0" w:color="auto"/>
          </w:divBdr>
        </w:div>
        <w:div w:id="1633899899">
          <w:marLeft w:val="1166"/>
          <w:marRight w:val="0"/>
          <w:marTop w:val="115"/>
          <w:marBottom w:val="0"/>
          <w:divBdr>
            <w:top w:val="none" w:sz="0" w:space="0" w:color="auto"/>
            <w:left w:val="none" w:sz="0" w:space="0" w:color="auto"/>
            <w:bottom w:val="none" w:sz="0" w:space="0" w:color="auto"/>
            <w:right w:val="none" w:sz="0" w:space="0" w:color="auto"/>
          </w:divBdr>
        </w:div>
        <w:div w:id="1773090930">
          <w:marLeft w:val="1166"/>
          <w:marRight w:val="0"/>
          <w:marTop w:val="115"/>
          <w:marBottom w:val="0"/>
          <w:divBdr>
            <w:top w:val="none" w:sz="0" w:space="0" w:color="auto"/>
            <w:left w:val="none" w:sz="0" w:space="0" w:color="auto"/>
            <w:bottom w:val="none" w:sz="0" w:space="0" w:color="auto"/>
            <w:right w:val="none" w:sz="0" w:space="0" w:color="auto"/>
          </w:divBdr>
        </w:div>
      </w:divsChild>
    </w:div>
    <w:div w:id="2114812829">
      <w:bodyDiv w:val="1"/>
      <w:marLeft w:val="0"/>
      <w:marRight w:val="0"/>
      <w:marTop w:val="0"/>
      <w:marBottom w:val="0"/>
      <w:divBdr>
        <w:top w:val="none" w:sz="0" w:space="0" w:color="auto"/>
        <w:left w:val="none" w:sz="0" w:space="0" w:color="auto"/>
        <w:bottom w:val="none" w:sz="0" w:space="0" w:color="auto"/>
        <w:right w:val="none" w:sz="0" w:space="0" w:color="auto"/>
      </w:divBdr>
    </w:div>
    <w:div w:id="2124418279">
      <w:bodyDiv w:val="1"/>
      <w:marLeft w:val="0"/>
      <w:marRight w:val="0"/>
      <w:marTop w:val="0"/>
      <w:marBottom w:val="0"/>
      <w:divBdr>
        <w:top w:val="none" w:sz="0" w:space="0" w:color="auto"/>
        <w:left w:val="none" w:sz="0" w:space="0" w:color="auto"/>
        <w:bottom w:val="none" w:sz="0" w:space="0" w:color="auto"/>
        <w:right w:val="none" w:sz="0" w:space="0" w:color="auto"/>
      </w:divBdr>
      <w:divsChild>
        <w:div w:id="94177328">
          <w:marLeft w:val="0"/>
          <w:marRight w:val="0"/>
          <w:marTop w:val="0"/>
          <w:marBottom w:val="0"/>
          <w:divBdr>
            <w:top w:val="none" w:sz="0" w:space="0" w:color="auto"/>
            <w:left w:val="none" w:sz="0" w:space="0" w:color="auto"/>
            <w:bottom w:val="none" w:sz="0" w:space="0" w:color="auto"/>
            <w:right w:val="none" w:sz="0" w:space="0" w:color="auto"/>
          </w:divBdr>
        </w:div>
        <w:div w:id="224728214">
          <w:marLeft w:val="0"/>
          <w:marRight w:val="0"/>
          <w:marTop w:val="0"/>
          <w:marBottom w:val="0"/>
          <w:divBdr>
            <w:top w:val="none" w:sz="0" w:space="0" w:color="auto"/>
            <w:left w:val="none" w:sz="0" w:space="0" w:color="auto"/>
            <w:bottom w:val="none" w:sz="0" w:space="0" w:color="auto"/>
            <w:right w:val="none" w:sz="0" w:space="0" w:color="auto"/>
          </w:divBdr>
        </w:div>
        <w:div w:id="498348178">
          <w:marLeft w:val="0"/>
          <w:marRight w:val="0"/>
          <w:marTop w:val="0"/>
          <w:marBottom w:val="0"/>
          <w:divBdr>
            <w:top w:val="none" w:sz="0" w:space="0" w:color="auto"/>
            <w:left w:val="none" w:sz="0" w:space="0" w:color="auto"/>
            <w:bottom w:val="none" w:sz="0" w:space="0" w:color="auto"/>
            <w:right w:val="none" w:sz="0" w:space="0" w:color="auto"/>
          </w:divBdr>
        </w:div>
        <w:div w:id="615062107">
          <w:marLeft w:val="0"/>
          <w:marRight w:val="0"/>
          <w:marTop w:val="0"/>
          <w:marBottom w:val="0"/>
          <w:divBdr>
            <w:top w:val="none" w:sz="0" w:space="0" w:color="auto"/>
            <w:left w:val="none" w:sz="0" w:space="0" w:color="auto"/>
            <w:bottom w:val="none" w:sz="0" w:space="0" w:color="auto"/>
            <w:right w:val="none" w:sz="0" w:space="0" w:color="auto"/>
          </w:divBdr>
        </w:div>
        <w:div w:id="1465149617">
          <w:marLeft w:val="0"/>
          <w:marRight w:val="0"/>
          <w:marTop w:val="0"/>
          <w:marBottom w:val="0"/>
          <w:divBdr>
            <w:top w:val="none" w:sz="0" w:space="0" w:color="auto"/>
            <w:left w:val="none" w:sz="0" w:space="0" w:color="auto"/>
            <w:bottom w:val="none" w:sz="0" w:space="0" w:color="auto"/>
            <w:right w:val="none" w:sz="0" w:space="0" w:color="auto"/>
          </w:divBdr>
        </w:div>
        <w:div w:id="1583106563">
          <w:marLeft w:val="0"/>
          <w:marRight w:val="0"/>
          <w:marTop w:val="0"/>
          <w:marBottom w:val="0"/>
          <w:divBdr>
            <w:top w:val="none" w:sz="0" w:space="0" w:color="auto"/>
            <w:left w:val="none" w:sz="0" w:space="0" w:color="auto"/>
            <w:bottom w:val="none" w:sz="0" w:space="0" w:color="auto"/>
            <w:right w:val="none" w:sz="0" w:space="0" w:color="auto"/>
          </w:divBdr>
        </w:div>
      </w:divsChild>
    </w:div>
    <w:div w:id="2131850522">
      <w:bodyDiv w:val="1"/>
      <w:marLeft w:val="0"/>
      <w:marRight w:val="0"/>
      <w:marTop w:val="0"/>
      <w:marBottom w:val="0"/>
      <w:divBdr>
        <w:top w:val="none" w:sz="0" w:space="0" w:color="auto"/>
        <w:left w:val="none" w:sz="0" w:space="0" w:color="auto"/>
        <w:bottom w:val="none" w:sz="0" w:space="0" w:color="auto"/>
        <w:right w:val="none" w:sz="0" w:space="0" w:color="auto"/>
      </w:divBdr>
    </w:div>
    <w:div w:id="2135711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hyperlink" Target="https://publications.carbontrust.com/flex-gb/analysis/" TargetMode="External"/><Relationship Id="rId42"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s://www.theccc.org.uk/wp-content/uploads/2018/06/Imperial-College-2018-Analysis-of-Alternative-UK-Heat-Decarbonisation-Pathways.pdf" TargetMode="External"/><Relationship Id="rId38" Type="http://schemas.openxmlformats.org/officeDocument/2006/relationships/image" Target="media/image24.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3.pn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2.emf"/><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chart" Target="charts/chart1.xml"/><Relationship Id="rId4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s://www.nationalgrideso.com/future-energy/future-energy-scenarios" TargetMode="External"/><Relationship Id="rId43" Type="http://schemas.openxmlformats.org/officeDocument/2006/relationships/header" Target="header3.xml"/></Relationships>
</file>

<file path=word/_rels/footnotes.xml.rels><?xml version="1.0" encoding="UTF-8" standalone="yes"?>
<Relationships xmlns="http://schemas.openxmlformats.org/package/2006/relationships"><Relationship Id="rId2" Type="http://schemas.openxmlformats.org/officeDocument/2006/relationships/hyperlink" Target="https://www.theccc.org.uk/wp-content/uploads/2018/06/Imperial-College-2018-Analysis-of-Alternative-UK-Heat-Decarbonisation-Pathways.pdf" TargetMode="External"/><Relationship Id="rId1" Type="http://schemas.openxmlformats.org/officeDocument/2006/relationships/hyperlink" Target="https://publications.carbontrust.com/flex-gb/analysis/"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Commander\KeyResults\Comparison%20of%20the%20results%20for%20sensitivity%20studie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20" b="0" i="0" u="none" strike="noStrike" kern="1200" spc="0" baseline="0">
                <a:solidFill>
                  <a:schemeClr val="tx1"/>
                </a:solidFill>
                <a:latin typeface="+mn-lt"/>
                <a:ea typeface="+mn-ea"/>
                <a:cs typeface="+mn-cs"/>
              </a:defRPr>
            </a:pPr>
            <a:r>
              <a:rPr lang="en-US"/>
              <a:t>Benefit of Scheme 2 against BaU</a:t>
            </a:r>
          </a:p>
        </c:rich>
      </c:tx>
      <c:layout>
        <c:manualLayout>
          <c:xMode val="edge"/>
          <c:yMode val="edge"/>
          <c:x val="0.28454885128309237"/>
          <c:y val="1.7406440382941687E-2"/>
        </c:manualLayout>
      </c:layout>
      <c:overlay val="0"/>
      <c:spPr>
        <a:noFill/>
        <a:ln>
          <a:noFill/>
        </a:ln>
        <a:effectLst/>
      </c:spPr>
      <c:txPr>
        <a:bodyPr rot="0" spcFirstLastPara="1" vertOverflow="ellipsis" vert="horz" wrap="square" anchor="ctr" anchorCtr="1"/>
        <a:lstStyle/>
        <a:p>
          <a:pPr>
            <a:defRPr sz="1320" b="0" i="0" u="none" strike="noStrike" kern="1200" spc="0" baseline="0">
              <a:solidFill>
                <a:schemeClr val="tx1"/>
              </a:solidFill>
              <a:latin typeface="+mn-lt"/>
              <a:ea typeface="+mn-ea"/>
              <a:cs typeface="+mn-cs"/>
            </a:defRPr>
          </a:pPr>
          <a:endParaRPr lang="en-US"/>
        </a:p>
      </c:txPr>
    </c:title>
    <c:autoTitleDeleted val="0"/>
    <c:plotArea>
      <c:layout/>
      <c:barChart>
        <c:barDir val="bar"/>
        <c:grouping val="stacked"/>
        <c:varyColors val="0"/>
        <c:ser>
          <c:idx val="0"/>
          <c:order val="0"/>
          <c:spPr>
            <a:solidFill>
              <a:schemeClr val="accent1"/>
            </a:solidFill>
            <a:ln>
              <a:noFill/>
            </a:ln>
            <a:effectLst/>
          </c:spPr>
          <c:invertIfNegative val="0"/>
          <c:dLbls>
            <c:dLbl>
              <c:idx val="0"/>
              <c:layout>
                <c:manualLayout>
                  <c:x val="4.560664723539392E-2"/>
                  <c:y val="-1.2764575490025267E-1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039-46B8-BB7B-ECC40317DA5C}"/>
                </c:ext>
              </c:extLst>
            </c:dLbl>
            <c:dLbl>
              <c:idx val="1"/>
              <c:layout>
                <c:manualLayout>
                  <c:x val="5.6217862269978686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039-46B8-BB7B-ECC40317DA5C}"/>
                </c:ext>
              </c:extLst>
            </c:dLbl>
            <c:dLbl>
              <c:idx val="2"/>
              <c:layout>
                <c:manualLayout>
                  <c:x val="8.0685411561123924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039-46B8-BB7B-ECC40317DA5C}"/>
                </c:ext>
              </c:extLst>
            </c:dLbl>
            <c:dLbl>
              <c:idx val="3"/>
              <c:layout>
                <c:manualLayout>
                  <c:x val="7.794937235055562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039-46B8-BB7B-ECC40317DA5C}"/>
                </c:ext>
              </c:extLst>
            </c:dLbl>
            <c:dLbl>
              <c:idx val="4"/>
              <c:layout>
                <c:manualLayout>
                  <c:x val="0.15489489228211095"/>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039-46B8-BB7B-ECC40317DA5C}"/>
                </c:ext>
              </c:extLst>
            </c:dLbl>
            <c:dLbl>
              <c:idx val="5"/>
              <c:layout>
                <c:manualLayout>
                  <c:x val="0.15407065829478489"/>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039-46B8-BB7B-ECC40317DA5C}"/>
                </c:ext>
              </c:extLst>
            </c:dLbl>
            <c:dLbl>
              <c:idx val="6"/>
              <c:layout>
                <c:manualLayout>
                  <c:x val="0.15515803618470325"/>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039-46B8-BB7B-ECC40317DA5C}"/>
                </c:ext>
              </c:extLst>
            </c:dLbl>
            <c:dLbl>
              <c:idx val="7"/>
              <c:layout>
                <c:manualLayout>
                  <c:x val="0.21198590507678253"/>
                  <c:y val="-3.1911438725063167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039-46B8-BB7B-ECC40317DA5C}"/>
                </c:ext>
              </c:extLst>
            </c:dLbl>
            <c:dLbl>
              <c:idx val="8"/>
              <c:layout>
                <c:manualLayout>
                  <c:x val="0.25872865339346374"/>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039-46B8-BB7B-ECC40317DA5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Sheet1!$Q$5:$R$14</c:f>
              <c:multiLvlStrCache>
                <c:ptCount val="9"/>
                <c:lvl>
                  <c:pt idx="0">
                    <c:v>Higher distributed flexibility costs</c:v>
                  </c:pt>
                  <c:pt idx="1">
                    <c:v>Core</c:v>
                  </c:pt>
                  <c:pt idx="2">
                    <c:v>Lower cost of wind</c:v>
                  </c:pt>
                  <c:pt idx="3">
                    <c:v>Impact of no DR</c:v>
                  </c:pt>
                  <c:pt idx="4">
                    <c:v>Lower cost of wind</c:v>
                  </c:pt>
                  <c:pt idx="5">
                    <c:v>Core</c:v>
                  </c:pt>
                  <c:pt idx="6">
                    <c:v>Higher distributed flexibility costs</c:v>
                  </c:pt>
                  <c:pt idx="7">
                    <c:v>High energy demand scenario</c:v>
                  </c:pt>
                  <c:pt idx="8">
                    <c:v>Impact of no DR</c:v>
                  </c:pt>
                </c:lvl>
                <c:lvl>
                  <c:pt idx="0">
                    <c:v>H2</c:v>
                  </c:pt>
                  <c:pt idx="4">
                    <c:v>ELEC</c:v>
                  </c:pt>
                </c:lvl>
              </c:multiLvlStrCache>
            </c:multiLvlStrRef>
          </c:cat>
          <c:val>
            <c:numRef>
              <c:f>Sheet1!$S$5:$S$14</c:f>
              <c:numCache>
                <c:formatCode>General</c:formatCode>
                <c:ptCount val="9"/>
                <c:pt idx="0">
                  <c:v>0.25</c:v>
                </c:pt>
                <c:pt idx="1">
                  <c:v>0.40000000000000568</c:v>
                </c:pt>
                <c:pt idx="2">
                  <c:v>0.84999999999999432</c:v>
                </c:pt>
                <c:pt idx="3">
                  <c:v>0.89000000000000057</c:v>
                </c:pt>
                <c:pt idx="4">
                  <c:v>2.2599999999999909</c:v>
                </c:pt>
                <c:pt idx="5">
                  <c:v>2.2900000000000063</c:v>
                </c:pt>
                <c:pt idx="6">
                  <c:v>2.3100000000000023</c:v>
                </c:pt>
                <c:pt idx="7">
                  <c:v>3.3100000000000023</c:v>
                </c:pt>
                <c:pt idx="8">
                  <c:v>4.2600000000000051</c:v>
                </c:pt>
              </c:numCache>
            </c:numRef>
          </c:val>
          <c:extLst>
            <c:ext xmlns:c16="http://schemas.microsoft.com/office/drawing/2014/chart" uri="{C3380CC4-5D6E-409C-BE32-E72D297353CC}">
              <c16:uniqueId val="{00000009-0039-46B8-BB7B-ECC40317DA5C}"/>
            </c:ext>
          </c:extLst>
        </c:ser>
        <c:dLbls>
          <c:dLblPos val="inEnd"/>
          <c:showLegendKey val="0"/>
          <c:showVal val="1"/>
          <c:showCatName val="0"/>
          <c:showSerName val="0"/>
          <c:showPercent val="0"/>
          <c:showBubbleSize val="0"/>
        </c:dLbls>
        <c:gapWidth val="150"/>
        <c:overlap val="100"/>
        <c:axId val="414590399"/>
        <c:axId val="414587039"/>
      </c:barChart>
      <c:catAx>
        <c:axId val="41459039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mn-lt"/>
                <a:ea typeface="+mn-ea"/>
                <a:cs typeface="+mn-cs"/>
              </a:defRPr>
            </a:pPr>
            <a:endParaRPr lang="en-US"/>
          </a:p>
        </c:txPr>
        <c:crossAx val="414587039"/>
        <c:crosses val="autoZero"/>
        <c:auto val="1"/>
        <c:lblAlgn val="ctr"/>
        <c:lblOffset val="100"/>
        <c:noMultiLvlLbl val="0"/>
      </c:catAx>
      <c:valAx>
        <c:axId val="414587039"/>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0" i="0" u="none" strike="noStrike" kern="1200" baseline="0">
                    <a:solidFill>
                      <a:schemeClr val="tx1"/>
                    </a:solidFill>
                    <a:latin typeface="+mn-lt"/>
                    <a:ea typeface="+mn-ea"/>
                    <a:cs typeface="+mn-cs"/>
                  </a:defRPr>
                </a:pPr>
                <a:r>
                  <a:rPr lang="en-GB" sz="1400" b="0" i="0" u="none" strike="noStrike" kern="1200" baseline="0">
                    <a:solidFill>
                      <a:sysClr val="windowText" lastClr="000000"/>
                    </a:solidFill>
                  </a:rPr>
                  <a:t>£bn/year</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mn-lt"/>
                <a:ea typeface="+mn-ea"/>
                <a:cs typeface="+mn-cs"/>
              </a:defRPr>
            </a:pPr>
            <a:endParaRPr lang="en-US"/>
          </a:p>
        </c:txPr>
        <c:crossAx val="41459039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100">
          <a:solidFill>
            <a:schemeClr val="tx1"/>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61cb88c-cc88-4699-b1b4-ed49d973fc4f">
      <Terms xmlns="http://schemas.microsoft.com/office/infopath/2007/PartnerControls"/>
    </lcf76f155ced4ddcb4097134ff3c332f>
    <TaxCatchAll xmlns="cdace89d-32a7-4872-8ce1-9186b2f83db2" xsi:nil="true"/>
    <SharedWithUsers xmlns="cdace89d-32a7-4872-8ce1-9186b2f83db2">
      <UserInfo>
        <DisplayName>Pirouti, Marouf</DisplayName>
        <AccountId>22</AccountId>
        <AccountType/>
      </UserInfo>
      <UserInfo>
        <DisplayName>Yates, Matt</DisplayName>
        <AccountId>14</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FC296E23F1B4BB67A67CDCB11A959" ma:contentTypeVersion="14" ma:contentTypeDescription="Create a new document." ma:contentTypeScope="" ma:versionID="b0d78c9a915b5ee059385ddfcb3745f7">
  <xsd:schema xmlns:xsd="http://www.w3.org/2001/XMLSchema" xmlns:xs="http://www.w3.org/2001/XMLSchema" xmlns:p="http://schemas.microsoft.com/office/2006/metadata/properties" xmlns:ns2="c61cb88c-cc88-4699-b1b4-ed49d973fc4f" xmlns:ns3="cdace89d-32a7-4872-8ce1-9186b2f83db2" targetNamespace="http://schemas.microsoft.com/office/2006/metadata/properties" ma:root="true" ma:fieldsID="459543578ce26184de17ee2a10ddb65f" ns2:_="" ns3:_="">
    <xsd:import namespace="c61cb88c-cc88-4699-b1b4-ed49d973fc4f"/>
    <xsd:import namespace="cdace89d-32a7-4872-8ce1-9186b2f83db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1cb88c-cc88-4699-b1b4-ed49d973fc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5d298e1-810f-4711-8be9-ef4702f2a38a"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ace89d-32a7-4872-8ce1-9186b2f83db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856b9917-4dfb-4004-a0c5-a6f6648b15a2}" ma:internalName="TaxCatchAll" ma:showField="CatchAllData" ma:web="cdace89d-32a7-4872-8ce1-9186b2f83db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EBEF9C-2C6E-49E7-A612-A74EA6B79FAA}">
  <ds:schemaRefs>
    <ds:schemaRef ds:uri="http://schemas.microsoft.com/office/2006/metadata/properties"/>
    <ds:schemaRef ds:uri="http://purl.org/dc/terms/"/>
    <ds:schemaRef ds:uri="http://schemas.microsoft.com/office/2006/documentManagement/types"/>
    <ds:schemaRef ds:uri="http://schemas.microsoft.com/office/infopath/2007/PartnerControls"/>
    <ds:schemaRef ds:uri="http://purl.org/dc/elements/1.1/"/>
    <ds:schemaRef ds:uri="c61cb88c-cc88-4699-b1b4-ed49d973fc4f"/>
    <ds:schemaRef ds:uri="http://schemas.openxmlformats.org/package/2006/metadata/core-properties"/>
    <ds:schemaRef ds:uri="cdace89d-32a7-4872-8ce1-9186b2f83db2"/>
    <ds:schemaRef ds:uri="http://www.w3.org/XML/1998/namespace"/>
    <ds:schemaRef ds:uri="http://purl.org/dc/dcmitype/"/>
  </ds:schemaRefs>
</ds:datastoreItem>
</file>

<file path=customXml/itemProps2.xml><?xml version="1.0" encoding="utf-8"?>
<ds:datastoreItem xmlns:ds="http://schemas.openxmlformats.org/officeDocument/2006/customXml" ds:itemID="{9833925A-BCD3-4B2D-853D-F64FE01D3DBE}">
  <ds:schemaRefs>
    <ds:schemaRef ds:uri="http://schemas.openxmlformats.org/officeDocument/2006/bibliography"/>
  </ds:schemaRefs>
</ds:datastoreItem>
</file>

<file path=customXml/itemProps3.xml><?xml version="1.0" encoding="utf-8"?>
<ds:datastoreItem xmlns:ds="http://schemas.openxmlformats.org/officeDocument/2006/customXml" ds:itemID="{8811D2D4-632B-4664-ADB7-C34DE2F0D7BA}">
  <ds:schemaRefs>
    <ds:schemaRef ds:uri="http://schemas.microsoft.com/sharepoint/v3/contenttype/forms"/>
  </ds:schemaRefs>
</ds:datastoreItem>
</file>

<file path=customXml/itemProps4.xml><?xml version="1.0" encoding="utf-8"?>
<ds:datastoreItem xmlns:ds="http://schemas.openxmlformats.org/officeDocument/2006/customXml" ds:itemID="{A91A0208-1CDF-40F9-820F-6C21D852FBC1}"/>
</file>

<file path=docProps/app.xml><?xml version="1.0" encoding="utf-8"?>
<Properties xmlns="http://schemas.openxmlformats.org/officeDocument/2006/extended-properties" xmlns:vt="http://schemas.openxmlformats.org/officeDocument/2006/docPropsVTypes">
  <Template>Normal</Template>
  <TotalTime>1</TotalTime>
  <Pages>44</Pages>
  <Words>11466</Words>
  <Characters>65362</Characters>
  <Application>Microsoft Office Word</Application>
  <DocSecurity>0</DocSecurity>
  <Lines>544</Lines>
  <Paragraphs>153</Paragraphs>
  <ScaleCrop>false</ScaleCrop>
  <Company>Imperial College</Company>
  <LinksUpToDate>false</LinksUpToDate>
  <CharactersWithSpaces>76675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Marko Aunedi</dc:creator>
  <cp:keywords/>
  <cp:lastModifiedBy>Fernandes Pedro, Nuno</cp:lastModifiedBy>
  <cp:revision>9</cp:revision>
  <cp:lastPrinted>2022-03-04T10:29:00Z</cp:lastPrinted>
  <dcterms:created xsi:type="dcterms:W3CDTF">2023-05-30T07:55:00Z</dcterms:created>
  <dcterms:modified xsi:type="dcterms:W3CDTF">2024-04-18T07:15:00Z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Id 5_1">
    <vt:lpwstr>http://www.zotero.org/styles/harvard-cite-them-right</vt:lpwstr>
  </property>
  <property fmtid="{D5CDD505-2E9C-101B-9397-08002B2CF9AE}" pid="12" name="Mendeley Recent Style Id 6_1">
    <vt:lpwstr>http://www.zotero.org/styles/energy-policy</vt:lpwstr>
  </property>
  <property fmtid="{D5CDD505-2E9C-101B-9397-08002B2CF9AE}" pid="13" name="Mendeley Recent Style Name 6_1">
    <vt:lpwstr>Energy Policy</vt:lpwstr>
  </property>
  <property fmtid="{D5CDD505-2E9C-101B-9397-08002B2CF9AE}" pid="14" name="Mendeley Recent Style Id 7_1">
    <vt:lpwstr>http://www.zotero.org/styles/harvard1</vt:lpwstr>
  </property>
  <property fmtid="{D5CDD505-2E9C-101B-9397-08002B2CF9AE}" pid="15" name="Mendeley Recent Style Name 7_1">
    <vt:lpwstr>Harvard reference format 1 (deprecated)</vt:lpwstr>
  </property>
  <property fmtid="{D5CDD505-2E9C-101B-9397-08002B2CF9AE}" pid="16" name="Mendeley Recent Style Id 8_1">
    <vt:lpwstr>http://www.zotero.org/styles/ieee</vt:lpwstr>
  </property>
  <property fmtid="{D5CDD505-2E9C-101B-9397-08002B2CF9AE}" pid="17" name="Mendeley Recent Style Id 9_1">
    <vt:lpwstr>http://www.zotero.org/styles/modern-language-association</vt:lpwstr>
  </property>
  <property fmtid="{D5CDD505-2E9C-101B-9397-08002B2CF9AE}" pid="18" name="Mendeley Recent Style Name 9_1">
    <vt:lpwstr>Modern Language Association 8th edition</vt:lpwstr>
  </property>
  <property fmtid="{D5CDD505-2E9C-101B-9397-08002B2CF9AE}" pid="19" name="_NewReviewCycle">
    <vt:lpwstr/>
  </property>
  <property fmtid="{D5CDD505-2E9C-101B-9397-08002B2CF9AE}" pid="20" name="Mendeley Document_1">
    <vt:lpwstr>True</vt:lpwstr>
  </property>
  <property fmtid="{D5CDD505-2E9C-101B-9397-08002B2CF9AE}" pid="21" name="Mendeley Unique User Id_1">
    <vt:lpwstr>55fe45ec-bf1f-3ee8-9bbd-21cce849cf32</vt:lpwstr>
  </property>
  <property fmtid="{D5CDD505-2E9C-101B-9397-08002B2CF9AE}" pid="22" name="Mendeley Citation Style_1">
    <vt:lpwstr>http://www.zotero.org/styles/harvard1</vt:lpwstr>
  </property>
  <property fmtid="{D5CDD505-2E9C-101B-9397-08002B2CF9AE}" pid="23" name="Mendeley Recent Style Name 4_1">
    <vt:lpwstr>Chicago Manual of Style 17th edition (author-date)</vt:lpwstr>
  </property>
  <property fmtid="{D5CDD505-2E9C-101B-9397-08002B2CF9AE}" pid="24" name="Mendeley Recent Style Name 5_1">
    <vt:lpwstr>Cite Them Right 10th edition - Harvard</vt:lpwstr>
  </property>
  <property fmtid="{D5CDD505-2E9C-101B-9397-08002B2CF9AE}" pid="25" name="Mendeley Recent Style Name 8_1">
    <vt:lpwstr>IEEE</vt:lpwstr>
  </property>
  <property fmtid="{D5CDD505-2E9C-101B-9397-08002B2CF9AE}" pid="26" name="ContentTypeId">
    <vt:lpwstr>0x010100822FC296E23F1B4BB67A67CDCB11A959</vt:lpwstr>
  </property>
  <property fmtid="{D5CDD505-2E9C-101B-9397-08002B2CF9AE}" pid="27" name="DLPManualFileClassification">
    <vt:lpwstr>{0F742C78-7CA1-4A83-96D0-F7EDA8C31D24}</vt:lpwstr>
  </property>
  <property fmtid="{D5CDD505-2E9C-101B-9397-08002B2CF9AE}" pid="28" name="DLPManualFileClassificationLastModifiedBy">
    <vt:lpwstr>AD03\Liz.Sidebotham</vt:lpwstr>
  </property>
  <property fmtid="{D5CDD505-2E9C-101B-9397-08002B2CF9AE}" pid="29" name="DLPManualFileClassificationLastModificationDate">
    <vt:lpwstr>1627465047</vt:lpwstr>
  </property>
  <property fmtid="{D5CDD505-2E9C-101B-9397-08002B2CF9AE}" pid="30" name="DLPManualFileClassificationVersion">
    <vt:lpwstr>11.4.0.45</vt:lpwstr>
  </property>
  <property fmtid="{D5CDD505-2E9C-101B-9397-08002B2CF9AE}" pid="31" name="MediaServiceImageTags">
    <vt:lpwstr/>
  </property>
</Properties>
</file>